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AD2" w:rsidRPr="00794DB6" w:rsidRDefault="008C4AD2" w:rsidP="008C4AD2">
      <w:pPr>
        <w:pStyle w:val="Title"/>
        <w:spacing w:after="0" w:line="276" w:lineRule="auto"/>
        <w:jc w:val="center"/>
        <w:rPr>
          <w:b/>
          <w:bCs w:val="0"/>
          <w:color w:val="2E74B5" w:themeColor="accent1" w:themeShade="BF"/>
          <w:sz w:val="32"/>
          <w:u w:val="single"/>
          <w:lang w:val="bg-BG"/>
        </w:rPr>
      </w:pPr>
      <w:r w:rsidRPr="00794DB6">
        <w:rPr>
          <w:rStyle w:val="Strong"/>
          <w:noProof/>
          <w:color w:val="2E74B5" w:themeColor="accent1" w:themeShade="BF"/>
          <w:u w:val="single"/>
          <w:lang w:val="bg-BG" w:eastAsia="bg-BG"/>
        </w:rPr>
        <w:drawing>
          <wp:inline distT="0" distB="0" distL="0" distR="0" wp14:anchorId="5A818362" wp14:editId="359A28E9">
            <wp:extent cx="6762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6275" cy="561975"/>
                    </a:xfrm>
                    <a:prstGeom prst="rect">
                      <a:avLst/>
                    </a:prstGeom>
                  </pic:spPr>
                </pic:pic>
              </a:graphicData>
            </a:graphic>
          </wp:inline>
        </w:drawing>
      </w:r>
      <w:r w:rsidRPr="00794DB6">
        <w:rPr>
          <w:b/>
          <w:bCs w:val="0"/>
          <w:color w:val="2E74B5" w:themeColor="accent1" w:themeShade="BF"/>
          <w:sz w:val="32"/>
          <w:u w:val="single"/>
          <w:lang w:val="bg-BG"/>
        </w:rPr>
        <w:t xml:space="preserve">  КОМИСИЯ ЗА ЗАЩИТА НА КОНКУРЕНЦИЯТА</w:t>
      </w:r>
    </w:p>
    <w:p w:rsidR="00132E43" w:rsidRDefault="00132E43" w:rsidP="0012275E">
      <w:pPr>
        <w:pStyle w:val="Title"/>
        <w:spacing w:after="0" w:line="276" w:lineRule="auto"/>
        <w:rPr>
          <w:b/>
          <w:bCs w:val="0"/>
          <w:color w:val="auto"/>
          <w:sz w:val="32"/>
        </w:rPr>
      </w:pPr>
    </w:p>
    <w:p w:rsidR="00FE5826" w:rsidRDefault="00B9578A" w:rsidP="00ED4E17">
      <w:pPr>
        <w:pStyle w:val="Title"/>
        <w:spacing w:after="0" w:line="276" w:lineRule="auto"/>
        <w:jc w:val="center"/>
        <w:rPr>
          <w:b/>
          <w:bCs w:val="0"/>
          <w:color w:val="auto"/>
          <w:sz w:val="32"/>
          <w:lang w:val="bg-BG"/>
        </w:rPr>
      </w:pPr>
      <w:r>
        <w:rPr>
          <w:b/>
          <w:bCs w:val="0"/>
          <w:color w:val="auto"/>
          <w:sz w:val="32"/>
          <w:lang w:val="bg-BG"/>
        </w:rPr>
        <w:t xml:space="preserve">РЕЗЮМЕ </w:t>
      </w:r>
    </w:p>
    <w:p w:rsidR="00B9578A" w:rsidRPr="00543821" w:rsidRDefault="00B9578A" w:rsidP="00F009A3">
      <w:pPr>
        <w:pStyle w:val="Title"/>
        <w:spacing w:after="0" w:line="240" w:lineRule="auto"/>
        <w:jc w:val="center"/>
        <w:rPr>
          <w:b/>
          <w:bCs w:val="0"/>
          <w:color w:val="auto"/>
          <w:sz w:val="28"/>
          <w:szCs w:val="28"/>
        </w:rPr>
      </w:pPr>
      <w:r w:rsidRPr="00543821">
        <w:rPr>
          <w:b/>
          <w:bCs w:val="0"/>
          <w:color w:val="auto"/>
          <w:sz w:val="28"/>
          <w:szCs w:val="28"/>
          <w:lang w:val="bg-BG"/>
        </w:rPr>
        <w:t xml:space="preserve">на </w:t>
      </w:r>
      <w:r w:rsidRPr="00543821">
        <w:rPr>
          <w:b/>
          <w:bCs w:val="0"/>
          <w:color w:val="auto"/>
          <w:sz w:val="28"/>
          <w:szCs w:val="28"/>
        </w:rPr>
        <w:t>отчет за изпълнението на</w:t>
      </w:r>
      <w:r w:rsidRPr="00543821">
        <w:rPr>
          <w:b/>
          <w:bCs w:val="0"/>
          <w:color w:val="auto"/>
          <w:sz w:val="28"/>
          <w:szCs w:val="28"/>
          <w:lang w:val="en-US"/>
        </w:rPr>
        <w:t xml:space="preserve"> </w:t>
      </w:r>
      <w:r w:rsidRPr="00543821">
        <w:rPr>
          <w:b/>
          <w:bCs w:val="0"/>
          <w:color w:val="auto"/>
          <w:sz w:val="28"/>
          <w:szCs w:val="28"/>
        </w:rPr>
        <w:t>програм</w:t>
      </w:r>
      <w:r w:rsidRPr="00543821">
        <w:rPr>
          <w:b/>
          <w:bCs w:val="0"/>
          <w:color w:val="auto"/>
          <w:sz w:val="28"/>
          <w:szCs w:val="28"/>
          <w:lang w:val="bg-BG"/>
        </w:rPr>
        <w:t xml:space="preserve">ния бюджет  </w:t>
      </w:r>
    </w:p>
    <w:p w:rsidR="001257B1" w:rsidRPr="00543821" w:rsidRDefault="00B9578A" w:rsidP="00F009A3">
      <w:pPr>
        <w:pStyle w:val="Title"/>
        <w:spacing w:after="0" w:line="240" w:lineRule="auto"/>
        <w:jc w:val="center"/>
        <w:rPr>
          <w:b/>
          <w:bCs w:val="0"/>
          <w:color w:val="auto"/>
          <w:sz w:val="28"/>
          <w:szCs w:val="28"/>
          <w:lang w:val="bg-BG"/>
        </w:rPr>
      </w:pPr>
      <w:r w:rsidRPr="00543821">
        <w:rPr>
          <w:b/>
          <w:bCs w:val="0"/>
          <w:color w:val="auto"/>
          <w:sz w:val="28"/>
          <w:szCs w:val="28"/>
          <w:lang w:val="bg-BG"/>
        </w:rPr>
        <w:t>на Комисия за защита на конкуренцията</w:t>
      </w:r>
      <w:r w:rsidR="000F7582">
        <w:rPr>
          <w:b/>
          <w:bCs w:val="0"/>
          <w:color w:val="auto"/>
          <w:sz w:val="28"/>
          <w:szCs w:val="28"/>
        </w:rPr>
        <w:t xml:space="preserve"> към 3</w:t>
      </w:r>
      <w:r w:rsidR="00711473">
        <w:rPr>
          <w:b/>
          <w:bCs w:val="0"/>
          <w:color w:val="auto"/>
          <w:sz w:val="28"/>
          <w:szCs w:val="28"/>
          <w:lang w:val="bg-BG"/>
        </w:rPr>
        <w:t>0</w:t>
      </w:r>
      <w:r w:rsidRPr="00543821">
        <w:rPr>
          <w:b/>
          <w:bCs w:val="0"/>
          <w:color w:val="auto"/>
          <w:sz w:val="28"/>
          <w:szCs w:val="28"/>
        </w:rPr>
        <w:t>.</w:t>
      </w:r>
      <w:r w:rsidR="00711473">
        <w:rPr>
          <w:b/>
          <w:bCs w:val="0"/>
          <w:color w:val="auto"/>
          <w:sz w:val="28"/>
          <w:szCs w:val="28"/>
          <w:lang w:val="en-US"/>
        </w:rPr>
        <w:t>06</w:t>
      </w:r>
      <w:r w:rsidR="000671FF">
        <w:rPr>
          <w:b/>
          <w:bCs w:val="0"/>
          <w:color w:val="auto"/>
          <w:sz w:val="28"/>
          <w:szCs w:val="28"/>
          <w:lang w:val="bg-BG"/>
        </w:rPr>
        <w:t>.</w:t>
      </w:r>
      <w:r w:rsidRPr="00543821">
        <w:rPr>
          <w:b/>
          <w:bCs w:val="0"/>
          <w:color w:val="auto"/>
          <w:sz w:val="28"/>
          <w:szCs w:val="28"/>
        </w:rPr>
        <w:t>20</w:t>
      </w:r>
      <w:r w:rsidR="00711473">
        <w:rPr>
          <w:b/>
          <w:bCs w:val="0"/>
          <w:color w:val="auto"/>
          <w:sz w:val="28"/>
          <w:szCs w:val="28"/>
          <w:lang w:val="bg-BG"/>
        </w:rPr>
        <w:t>25</w:t>
      </w:r>
      <w:r w:rsidRPr="00543821">
        <w:rPr>
          <w:b/>
          <w:bCs w:val="0"/>
          <w:color w:val="auto"/>
          <w:sz w:val="28"/>
          <w:szCs w:val="28"/>
        </w:rPr>
        <w:t xml:space="preserve"> г.</w:t>
      </w:r>
    </w:p>
    <w:p w:rsidR="001257B1" w:rsidRDefault="001257B1" w:rsidP="00F009A3">
      <w:pPr>
        <w:spacing w:after="0" w:line="240" w:lineRule="auto"/>
        <w:rPr>
          <w:sz w:val="32"/>
          <w:szCs w:val="32"/>
        </w:rPr>
      </w:pPr>
    </w:p>
    <w:p w:rsidR="00177A51" w:rsidRPr="00DF03A6" w:rsidRDefault="00BC3069" w:rsidP="00205668">
      <w:pPr>
        <w:pStyle w:val="BodyText"/>
        <w:widowControl w:val="0"/>
        <w:tabs>
          <w:tab w:val="left" w:pos="8931"/>
          <w:tab w:val="left" w:pos="9214"/>
          <w:tab w:val="left" w:pos="9356"/>
        </w:tabs>
        <w:spacing w:line="240" w:lineRule="auto"/>
        <w:rPr>
          <w:b/>
          <w:sz w:val="23"/>
          <w:szCs w:val="23"/>
          <w:lang w:val="bg-BG"/>
        </w:rPr>
      </w:pPr>
      <w:r w:rsidRPr="0012275E">
        <w:rPr>
          <w:b/>
          <w:sz w:val="23"/>
          <w:szCs w:val="23"/>
          <w:lang w:val="bg-BG"/>
        </w:rPr>
        <w:t>І</w:t>
      </w:r>
      <w:r w:rsidR="00177A51" w:rsidRPr="0012275E">
        <w:rPr>
          <w:b/>
          <w:sz w:val="23"/>
          <w:szCs w:val="23"/>
          <w:lang w:val="bg-BG"/>
        </w:rPr>
        <w:t xml:space="preserve">. </w:t>
      </w:r>
      <w:r w:rsidR="00645346" w:rsidRPr="00DF03A6">
        <w:rPr>
          <w:b/>
          <w:sz w:val="23"/>
          <w:szCs w:val="23"/>
          <w:lang w:val="bg-BG"/>
        </w:rPr>
        <w:t>ОБЩИ ПОЛОЖЕНИЯ</w:t>
      </w:r>
    </w:p>
    <w:p w:rsidR="00DD5B36" w:rsidRPr="00627668" w:rsidRDefault="00DD5B36" w:rsidP="00DD5B36">
      <w:pPr>
        <w:spacing w:after="0" w:line="240" w:lineRule="auto"/>
        <w:ind w:firstLine="709"/>
        <w:jc w:val="both"/>
        <w:rPr>
          <w:rFonts w:ascii="Times New Roman" w:hAnsi="Times New Roman" w:cs="Times New Roman"/>
          <w:sz w:val="23"/>
          <w:szCs w:val="23"/>
        </w:rPr>
      </w:pPr>
      <w:r w:rsidRPr="00DF03A6">
        <w:rPr>
          <w:rFonts w:ascii="Times New Roman" w:hAnsi="Times New Roman" w:cs="Times New Roman"/>
          <w:sz w:val="23"/>
          <w:szCs w:val="23"/>
        </w:rPr>
        <w:t xml:space="preserve">Комисия за защита на </w:t>
      </w:r>
      <w:r w:rsidRPr="00627668">
        <w:rPr>
          <w:rFonts w:ascii="Times New Roman" w:hAnsi="Times New Roman" w:cs="Times New Roman"/>
          <w:sz w:val="23"/>
          <w:szCs w:val="23"/>
        </w:rPr>
        <w:t>конкуренцията е независим специализиран държавен орган, чийто правомощия са уредени в Закона за защита на конкуренцията (ЗЗК), Закона за обществените поръчки (ЗОП) и Закона за концесиите (З</w:t>
      </w:r>
      <w:bookmarkStart w:id="0" w:name="_GoBack"/>
      <w:bookmarkEnd w:id="0"/>
      <w:r w:rsidRPr="00627668">
        <w:rPr>
          <w:rFonts w:ascii="Times New Roman" w:hAnsi="Times New Roman" w:cs="Times New Roman"/>
          <w:sz w:val="23"/>
          <w:szCs w:val="23"/>
        </w:rPr>
        <w:t>К).</w:t>
      </w:r>
    </w:p>
    <w:p w:rsidR="00F500A6" w:rsidRPr="00627668" w:rsidRDefault="00F500A6" w:rsidP="00F500A6">
      <w:pPr>
        <w:widowControl w:val="0"/>
        <w:spacing w:after="0" w:line="240" w:lineRule="auto"/>
        <w:ind w:firstLine="709"/>
        <w:jc w:val="both"/>
        <w:rPr>
          <w:rFonts w:ascii="Times New Roman" w:hAnsi="Times New Roman" w:cs="Times New Roman"/>
          <w:sz w:val="23"/>
          <w:szCs w:val="23"/>
        </w:rPr>
      </w:pPr>
      <w:r w:rsidRPr="00627668">
        <w:rPr>
          <w:rFonts w:ascii="Times New Roman" w:hAnsi="Times New Roman" w:cs="Times New Roman"/>
          <w:sz w:val="23"/>
          <w:szCs w:val="23"/>
        </w:rPr>
        <w:t xml:space="preserve">На Комисията са възложени обществено значими функции, свързани с осъществяване на контрол върху пазарните процеси, върху отношенията между пазарните участници и върху поведението на пазара както на малките предприятия, така и на компаниите и икономическите групи, заемащи съществен дял от съответния пазар. </w:t>
      </w:r>
    </w:p>
    <w:p w:rsidR="00977077" w:rsidRPr="00627668" w:rsidRDefault="00977077" w:rsidP="00977077">
      <w:pPr>
        <w:widowControl w:val="0"/>
        <w:spacing w:after="0" w:line="240" w:lineRule="auto"/>
        <w:jc w:val="both"/>
        <w:rPr>
          <w:rFonts w:ascii="Times New Roman" w:eastAsia="Times New Roman" w:hAnsi="Times New Roman" w:cs="Times New Roman"/>
          <w:b/>
          <w:sz w:val="23"/>
          <w:szCs w:val="23"/>
        </w:rPr>
      </w:pPr>
      <w:r w:rsidRPr="00627668">
        <w:rPr>
          <w:rFonts w:ascii="Times New Roman" w:eastAsia="Times New Roman" w:hAnsi="Times New Roman" w:cs="Times New Roman"/>
          <w:b/>
          <w:sz w:val="23"/>
          <w:szCs w:val="23"/>
        </w:rPr>
        <w:t xml:space="preserve">ІІ. ОТЧЕТ НА ОСНОВНИТЕ ПАРАМЕТРИ НА БЮДЖЕТА КЪМ </w:t>
      </w:r>
      <w:r w:rsidRPr="00627668">
        <w:rPr>
          <w:rFonts w:ascii="Times New Roman" w:eastAsia="Times New Roman" w:hAnsi="Times New Roman" w:cs="Times New Roman"/>
          <w:b/>
          <w:sz w:val="23"/>
          <w:szCs w:val="23"/>
          <w:lang w:val="en-US"/>
        </w:rPr>
        <w:t>3</w:t>
      </w:r>
      <w:r w:rsidR="00711473" w:rsidRPr="00627668">
        <w:rPr>
          <w:rFonts w:ascii="Times New Roman" w:eastAsia="Times New Roman" w:hAnsi="Times New Roman" w:cs="Times New Roman"/>
          <w:b/>
          <w:sz w:val="23"/>
          <w:szCs w:val="23"/>
        </w:rPr>
        <w:t>6.06.2025</w:t>
      </w:r>
      <w:r w:rsidRPr="00627668">
        <w:rPr>
          <w:rFonts w:ascii="Times New Roman" w:eastAsia="Times New Roman" w:hAnsi="Times New Roman" w:cs="Times New Roman"/>
          <w:b/>
          <w:sz w:val="23"/>
          <w:szCs w:val="23"/>
        </w:rPr>
        <w:t xml:space="preserve"> г. </w:t>
      </w:r>
    </w:p>
    <w:p w:rsidR="00977077" w:rsidRPr="00627668" w:rsidRDefault="00977077" w:rsidP="00977077">
      <w:pPr>
        <w:widowControl w:val="0"/>
        <w:numPr>
          <w:ilvl w:val="0"/>
          <w:numId w:val="1"/>
        </w:numPr>
        <w:spacing w:after="0" w:line="240" w:lineRule="auto"/>
        <w:jc w:val="both"/>
        <w:rPr>
          <w:rFonts w:ascii="Times New Roman" w:eastAsia="Times New Roman" w:hAnsi="Times New Roman" w:cs="Times New Roman"/>
          <w:b/>
          <w:sz w:val="23"/>
          <w:szCs w:val="23"/>
          <w:lang w:val="ru-RU"/>
        </w:rPr>
      </w:pPr>
      <w:r w:rsidRPr="00627668">
        <w:rPr>
          <w:rFonts w:ascii="Times New Roman" w:eastAsia="Times New Roman" w:hAnsi="Times New Roman" w:cs="Times New Roman"/>
          <w:b/>
          <w:sz w:val="23"/>
          <w:szCs w:val="23"/>
          <w:lang w:val="ru-RU"/>
        </w:rPr>
        <w:t>Отчет на приходите</w:t>
      </w:r>
    </w:p>
    <w:p w:rsidR="00EA058F" w:rsidRPr="00627668" w:rsidRDefault="00711473" w:rsidP="00711473">
      <w:pPr>
        <w:shd w:val="clear" w:color="auto" w:fill="FFFFFF"/>
        <w:spacing w:after="0" w:line="240" w:lineRule="auto"/>
        <w:ind w:left="11" w:right="11" w:firstLine="703"/>
        <w:jc w:val="both"/>
        <w:rPr>
          <w:rFonts w:ascii="Times New Roman" w:hAnsi="Times New Roman" w:cs="Times New Roman"/>
          <w:sz w:val="23"/>
          <w:szCs w:val="23"/>
        </w:rPr>
      </w:pPr>
      <w:r w:rsidRPr="00627668">
        <w:rPr>
          <w:rFonts w:ascii="Times New Roman" w:hAnsi="Times New Roman" w:cs="Times New Roman"/>
          <w:sz w:val="23"/>
          <w:szCs w:val="23"/>
        </w:rPr>
        <w:t>Със Закона за държавния бюджет на Република България за 2025 г. (</w:t>
      </w:r>
      <w:proofErr w:type="spellStart"/>
      <w:r w:rsidRPr="00627668">
        <w:rPr>
          <w:rFonts w:ascii="Times New Roman" w:hAnsi="Times New Roman" w:cs="Times New Roman"/>
          <w:sz w:val="23"/>
          <w:szCs w:val="23"/>
        </w:rPr>
        <w:t>обн</w:t>
      </w:r>
      <w:proofErr w:type="spellEnd"/>
      <w:r w:rsidRPr="00627668">
        <w:rPr>
          <w:rFonts w:ascii="Times New Roman" w:hAnsi="Times New Roman" w:cs="Times New Roman"/>
          <w:sz w:val="23"/>
          <w:szCs w:val="23"/>
        </w:rPr>
        <w:t xml:space="preserve">. ДВ, бр. 26 от 27.03.2025 г., в сила от 01.01.2025 г.) по бюджета на Комисия за защита на конкуренцията са утвърдени приходи в размер на 7 200 000 лв. </w:t>
      </w:r>
      <w:r w:rsidR="00EA058F" w:rsidRPr="00627668">
        <w:rPr>
          <w:rFonts w:ascii="Times New Roman" w:hAnsi="Times New Roman" w:cs="Times New Roman"/>
          <w:sz w:val="23"/>
          <w:szCs w:val="23"/>
        </w:rPr>
        <w:t xml:space="preserve"> Основната част от приходите, които постъпват в Комисия за защита на конкуренцията, са формирани от платени глоби и имуществени санкции по Закона за защита на конкуренцията и Закона за обществените поръчки, както и внесени държавни такси по Тарифата към Закона за защита на конкуренцията, Закона за обществените поръчки и Закона за концесиите. </w:t>
      </w:r>
      <w:r w:rsidR="00EA058F" w:rsidRPr="00627668">
        <w:rPr>
          <w:sz w:val="23"/>
          <w:szCs w:val="23"/>
        </w:rPr>
        <w:t xml:space="preserve"> </w:t>
      </w:r>
    </w:p>
    <w:p w:rsidR="00711473" w:rsidRPr="00627668" w:rsidRDefault="00711473" w:rsidP="00711473">
      <w:pPr>
        <w:shd w:val="clear" w:color="auto" w:fill="FFFFFF"/>
        <w:spacing w:after="0" w:line="240" w:lineRule="auto"/>
        <w:ind w:left="10" w:right="14" w:firstLine="701"/>
        <w:jc w:val="both"/>
        <w:rPr>
          <w:rFonts w:ascii="Times New Roman" w:hAnsi="Times New Roman" w:cs="Times New Roman"/>
          <w:sz w:val="23"/>
          <w:szCs w:val="23"/>
        </w:rPr>
      </w:pPr>
      <w:r w:rsidRPr="00627668">
        <w:rPr>
          <w:rFonts w:ascii="Times New Roman" w:hAnsi="Times New Roman" w:cs="Times New Roman"/>
          <w:sz w:val="23"/>
          <w:szCs w:val="23"/>
        </w:rPr>
        <w:t>Към 3</w:t>
      </w:r>
      <w:r w:rsidRPr="00627668">
        <w:rPr>
          <w:rFonts w:ascii="Times New Roman" w:hAnsi="Times New Roman" w:cs="Times New Roman"/>
          <w:sz w:val="23"/>
          <w:szCs w:val="23"/>
          <w:lang w:val="en-US"/>
        </w:rPr>
        <w:t>0</w:t>
      </w:r>
      <w:r w:rsidRPr="00627668">
        <w:rPr>
          <w:rFonts w:ascii="Times New Roman" w:hAnsi="Times New Roman" w:cs="Times New Roman"/>
          <w:sz w:val="23"/>
          <w:szCs w:val="23"/>
        </w:rPr>
        <w:t>.</w:t>
      </w:r>
      <w:r w:rsidRPr="00627668">
        <w:rPr>
          <w:rFonts w:ascii="Times New Roman" w:hAnsi="Times New Roman" w:cs="Times New Roman"/>
          <w:sz w:val="23"/>
          <w:szCs w:val="23"/>
          <w:lang w:val="en-US"/>
        </w:rPr>
        <w:t>06</w:t>
      </w:r>
      <w:r w:rsidRPr="00627668">
        <w:rPr>
          <w:rFonts w:ascii="Times New Roman" w:hAnsi="Times New Roman" w:cs="Times New Roman"/>
          <w:sz w:val="23"/>
          <w:szCs w:val="23"/>
        </w:rPr>
        <w:t>.202</w:t>
      </w:r>
      <w:r w:rsidRPr="00627668">
        <w:rPr>
          <w:rFonts w:ascii="Times New Roman" w:hAnsi="Times New Roman" w:cs="Times New Roman"/>
          <w:sz w:val="23"/>
          <w:szCs w:val="23"/>
          <w:lang w:val="en-US"/>
        </w:rPr>
        <w:t>5</w:t>
      </w:r>
      <w:r w:rsidRPr="00627668">
        <w:rPr>
          <w:rFonts w:ascii="Times New Roman" w:hAnsi="Times New Roman" w:cs="Times New Roman"/>
          <w:sz w:val="23"/>
          <w:szCs w:val="23"/>
        </w:rPr>
        <w:t xml:space="preserve"> г. по приходната част на бюджета са отчетени 2 0</w:t>
      </w:r>
      <w:r w:rsidRPr="00627668">
        <w:rPr>
          <w:rFonts w:ascii="Times New Roman" w:hAnsi="Times New Roman" w:cs="Times New Roman"/>
          <w:sz w:val="23"/>
          <w:szCs w:val="23"/>
          <w:lang w:val="en-US"/>
        </w:rPr>
        <w:t>73</w:t>
      </w:r>
      <w:r w:rsidRPr="00627668">
        <w:rPr>
          <w:rFonts w:ascii="Times New Roman" w:hAnsi="Times New Roman" w:cs="Times New Roman"/>
          <w:sz w:val="23"/>
          <w:szCs w:val="23"/>
        </w:rPr>
        <w:t xml:space="preserve"> </w:t>
      </w:r>
      <w:r w:rsidRPr="00627668">
        <w:rPr>
          <w:rFonts w:ascii="Times New Roman" w:hAnsi="Times New Roman" w:cs="Times New Roman"/>
          <w:sz w:val="23"/>
          <w:szCs w:val="23"/>
          <w:lang w:val="en-US"/>
        </w:rPr>
        <w:t>723</w:t>
      </w:r>
      <w:r w:rsidRPr="00627668">
        <w:rPr>
          <w:rFonts w:ascii="Times New Roman" w:hAnsi="Times New Roman" w:cs="Times New Roman"/>
          <w:sz w:val="23"/>
          <w:szCs w:val="23"/>
        </w:rPr>
        <w:t xml:space="preserve"> лв., което представлява 2</w:t>
      </w:r>
      <w:r w:rsidRPr="00627668">
        <w:rPr>
          <w:rFonts w:ascii="Times New Roman" w:hAnsi="Times New Roman" w:cs="Times New Roman"/>
          <w:sz w:val="23"/>
          <w:szCs w:val="23"/>
          <w:lang w:val="en-US"/>
        </w:rPr>
        <w:t>8</w:t>
      </w:r>
      <w:r w:rsidRPr="00627668">
        <w:rPr>
          <w:rFonts w:ascii="Times New Roman" w:hAnsi="Times New Roman" w:cs="Times New Roman"/>
          <w:sz w:val="23"/>
          <w:szCs w:val="23"/>
        </w:rPr>
        <w:t>,8</w:t>
      </w:r>
      <w:r w:rsidRPr="00627668">
        <w:rPr>
          <w:rFonts w:ascii="Times New Roman" w:hAnsi="Times New Roman" w:cs="Times New Roman"/>
          <w:sz w:val="23"/>
          <w:szCs w:val="23"/>
          <w:lang w:val="en-US"/>
        </w:rPr>
        <w:t>0</w:t>
      </w:r>
      <w:r w:rsidRPr="00627668">
        <w:rPr>
          <w:rFonts w:ascii="Times New Roman" w:hAnsi="Times New Roman" w:cs="Times New Roman"/>
          <w:sz w:val="23"/>
          <w:szCs w:val="23"/>
        </w:rPr>
        <w:t xml:space="preserve"> % от планираните по бюджета на КЗК за годината приходи</w:t>
      </w:r>
      <w:r w:rsidR="004F6C3C" w:rsidRPr="00627668">
        <w:rPr>
          <w:rFonts w:ascii="Times New Roman" w:hAnsi="Times New Roman" w:cs="Times New Roman"/>
          <w:sz w:val="23"/>
          <w:szCs w:val="23"/>
        </w:rPr>
        <w:t>,</w:t>
      </w:r>
      <w:r w:rsidR="000F509B" w:rsidRPr="00627668">
        <w:rPr>
          <w:rFonts w:ascii="Times New Roman" w:hAnsi="Times New Roman" w:cs="Times New Roman"/>
          <w:sz w:val="23"/>
          <w:szCs w:val="23"/>
        </w:rPr>
        <w:t xml:space="preserve"> като трендовете по отношение на процентното изпълнението на плана за приходите се запазват в същия стойностен порядък спрямо референтния период на предходната година. </w:t>
      </w:r>
      <w:r w:rsidR="004F6C3C" w:rsidRPr="00627668">
        <w:t xml:space="preserve"> </w:t>
      </w:r>
      <w:r w:rsidR="000F509B" w:rsidRPr="00627668">
        <w:rPr>
          <w:rFonts w:ascii="Times New Roman" w:hAnsi="Times New Roman" w:cs="Times New Roman"/>
          <w:sz w:val="23"/>
          <w:szCs w:val="23"/>
        </w:rPr>
        <w:t>П</w:t>
      </w:r>
      <w:r w:rsidR="004F6C3C" w:rsidRPr="00627668">
        <w:rPr>
          <w:rFonts w:ascii="Times New Roman" w:hAnsi="Times New Roman" w:cs="Times New Roman"/>
          <w:sz w:val="23"/>
          <w:szCs w:val="23"/>
        </w:rPr>
        <w:t>о отношение на приходите от държавни такси процентното изпълнение на плана е 36,47 %, а за приходите от имуществени санкции – 17,86 %</w:t>
      </w:r>
      <w:r w:rsidRPr="00627668">
        <w:rPr>
          <w:rFonts w:ascii="Times New Roman" w:hAnsi="Times New Roman" w:cs="Times New Roman"/>
          <w:sz w:val="23"/>
          <w:szCs w:val="23"/>
        </w:rPr>
        <w:t>.</w:t>
      </w:r>
      <w:r w:rsidR="000F509B" w:rsidRPr="00627668">
        <w:rPr>
          <w:rFonts w:ascii="Times New Roman" w:hAnsi="Times New Roman" w:cs="Times New Roman"/>
          <w:sz w:val="23"/>
          <w:szCs w:val="23"/>
        </w:rPr>
        <w:t xml:space="preserve"> </w:t>
      </w:r>
    </w:p>
    <w:p w:rsidR="00251E29" w:rsidRPr="00627668" w:rsidRDefault="00251E29" w:rsidP="00711473">
      <w:pPr>
        <w:shd w:val="clear" w:color="auto" w:fill="FFFFFF"/>
        <w:spacing w:after="0" w:line="240" w:lineRule="auto"/>
        <w:ind w:left="10" w:right="14" w:firstLine="701"/>
        <w:jc w:val="both"/>
        <w:rPr>
          <w:rFonts w:ascii="Times New Roman" w:hAnsi="Times New Roman" w:cs="Times New Roman"/>
          <w:sz w:val="23"/>
          <w:szCs w:val="23"/>
        </w:rPr>
      </w:pPr>
      <w:r w:rsidRPr="00627668">
        <w:rPr>
          <w:rFonts w:ascii="Times New Roman" w:hAnsi="Times New Roman" w:cs="Times New Roman"/>
          <w:sz w:val="23"/>
          <w:szCs w:val="23"/>
        </w:rPr>
        <w:t>Въпреки трудната степен на прогнозиране на събираемостта на таксите за производства по ЗОП, ЗК и ЗЗК, през последните години постъпленията от държавни такси се запазват в досегашните темпове. Същевременно следва да се отбележи и необходимостта от актуализиране на тарифите на таксите, които се събират от КЗК в производствата по ЗЗК, ЗК и ЗОП, както бъде отчетена актуалната икономическа обстановка.</w:t>
      </w:r>
    </w:p>
    <w:p w:rsidR="00977077" w:rsidRPr="00627668" w:rsidRDefault="00977077" w:rsidP="0088685C">
      <w:pPr>
        <w:widowControl w:val="0"/>
        <w:numPr>
          <w:ilvl w:val="0"/>
          <w:numId w:val="1"/>
        </w:numPr>
        <w:tabs>
          <w:tab w:val="left" w:pos="851"/>
        </w:tabs>
        <w:spacing w:after="0" w:line="240" w:lineRule="auto"/>
        <w:jc w:val="both"/>
        <w:rPr>
          <w:rFonts w:ascii="Times New Roman" w:eastAsia="Times New Roman" w:hAnsi="Times New Roman" w:cs="Times New Roman"/>
          <w:b/>
          <w:sz w:val="23"/>
          <w:szCs w:val="23"/>
          <w:lang w:val="ru-RU"/>
        </w:rPr>
      </w:pPr>
      <w:r w:rsidRPr="00627668">
        <w:rPr>
          <w:rFonts w:ascii="Times New Roman" w:eastAsia="Times New Roman" w:hAnsi="Times New Roman" w:cs="Times New Roman"/>
          <w:b/>
          <w:sz w:val="23"/>
          <w:szCs w:val="23"/>
          <w:lang w:val="ru-RU"/>
        </w:rPr>
        <w:t xml:space="preserve">Отчет на </w:t>
      </w:r>
      <w:r w:rsidRPr="00627668">
        <w:rPr>
          <w:rFonts w:ascii="Times New Roman" w:eastAsia="Times New Roman" w:hAnsi="Times New Roman" w:cs="Times New Roman"/>
          <w:b/>
          <w:sz w:val="23"/>
          <w:szCs w:val="23"/>
        </w:rPr>
        <w:t>разходите</w:t>
      </w:r>
      <w:r w:rsidRPr="00627668">
        <w:rPr>
          <w:rFonts w:ascii="Times New Roman" w:eastAsia="Times New Roman" w:hAnsi="Times New Roman" w:cs="Times New Roman"/>
          <w:b/>
          <w:sz w:val="23"/>
          <w:szCs w:val="23"/>
          <w:lang w:val="ru-RU"/>
        </w:rPr>
        <w:t xml:space="preserve"> </w:t>
      </w:r>
    </w:p>
    <w:p w:rsidR="008A6358" w:rsidRPr="00627668" w:rsidRDefault="00711473" w:rsidP="008A6358">
      <w:pPr>
        <w:autoSpaceDE w:val="0"/>
        <w:autoSpaceDN w:val="0"/>
        <w:adjustRightInd w:val="0"/>
        <w:spacing w:after="0" w:line="240" w:lineRule="auto"/>
        <w:ind w:firstLine="709"/>
        <w:jc w:val="both"/>
        <w:rPr>
          <w:rFonts w:ascii="Times New Roman" w:eastAsia="MS Mincho" w:hAnsi="Times New Roman" w:cs="Times New Roman"/>
          <w:sz w:val="23"/>
          <w:szCs w:val="23"/>
          <w:lang w:eastAsia="bg-BG"/>
        </w:rPr>
      </w:pPr>
      <w:r w:rsidRPr="00627668">
        <w:rPr>
          <w:rFonts w:ascii="Times New Roman" w:eastAsia="MS Mincho" w:hAnsi="Times New Roman" w:cs="Times New Roman"/>
          <w:sz w:val="23"/>
          <w:szCs w:val="23"/>
          <w:lang w:eastAsia="bg-BG"/>
        </w:rPr>
        <w:t>Утвърдените със Закона за държавния бюджет на Република България за 20</w:t>
      </w:r>
      <w:r w:rsidRPr="00627668">
        <w:rPr>
          <w:rFonts w:ascii="Times New Roman" w:eastAsia="MS Mincho" w:hAnsi="Times New Roman" w:cs="Times New Roman"/>
          <w:sz w:val="23"/>
          <w:szCs w:val="23"/>
          <w:lang w:val="ru-RU" w:eastAsia="bg-BG"/>
        </w:rPr>
        <w:t>25</w:t>
      </w:r>
      <w:r w:rsidRPr="00627668">
        <w:rPr>
          <w:rFonts w:ascii="Times New Roman" w:eastAsia="MS Mincho" w:hAnsi="Times New Roman" w:cs="Times New Roman"/>
          <w:sz w:val="23"/>
          <w:szCs w:val="23"/>
          <w:lang w:eastAsia="bg-BG"/>
        </w:rPr>
        <w:t xml:space="preserve"> г. и с Постановление № 28 на Министерския съвет от 16.04.2025 г. за изпълнението на държавния бюджет на Република България за 2025 г. разходи по бюджета на КЗК</w:t>
      </w:r>
      <w:r w:rsidRPr="00627668">
        <w:rPr>
          <w:rFonts w:ascii="Times New Roman" w:eastAsia="MS Mincho" w:hAnsi="Times New Roman" w:cs="Times New Roman"/>
          <w:sz w:val="23"/>
          <w:szCs w:val="23"/>
          <w:lang w:val="en-US" w:eastAsia="bg-BG"/>
        </w:rPr>
        <w:t>,</w:t>
      </w:r>
      <w:r w:rsidRPr="00627668">
        <w:rPr>
          <w:rFonts w:ascii="Times New Roman" w:eastAsia="MS Mincho" w:hAnsi="Times New Roman" w:cs="Times New Roman"/>
          <w:sz w:val="23"/>
          <w:szCs w:val="23"/>
          <w:lang w:eastAsia="bg-BG"/>
        </w:rPr>
        <w:t xml:space="preserve"> са в размер на  7 724 900 лв.</w:t>
      </w:r>
    </w:p>
    <w:p w:rsidR="00711473" w:rsidRPr="00627668" w:rsidRDefault="00711473" w:rsidP="00711473">
      <w:pPr>
        <w:autoSpaceDE w:val="0"/>
        <w:autoSpaceDN w:val="0"/>
        <w:adjustRightInd w:val="0"/>
        <w:spacing w:after="0" w:line="240" w:lineRule="auto"/>
        <w:ind w:firstLine="709"/>
        <w:jc w:val="both"/>
        <w:rPr>
          <w:rFonts w:ascii="Times New Roman" w:hAnsi="Times New Roman" w:cs="Times New Roman"/>
          <w:sz w:val="23"/>
          <w:szCs w:val="23"/>
        </w:rPr>
      </w:pPr>
      <w:r w:rsidRPr="00627668">
        <w:rPr>
          <w:rFonts w:ascii="Times New Roman" w:hAnsi="Times New Roman" w:cs="Times New Roman"/>
          <w:sz w:val="23"/>
          <w:szCs w:val="23"/>
        </w:rPr>
        <w:t xml:space="preserve">Към 30.06.2025 г. по бюджета на КЗК са отчетени 3 331 624 лева ведомствени разходи, което представлява 43,13 % от размера на утвърдените разходи по бюджета на КЗК за 2025 г., разпределени  както следва: </w:t>
      </w:r>
    </w:p>
    <w:p w:rsidR="00711473" w:rsidRPr="00627668" w:rsidRDefault="00711473" w:rsidP="00711473">
      <w:pPr>
        <w:numPr>
          <w:ilvl w:val="0"/>
          <w:numId w:val="22"/>
        </w:numPr>
        <w:autoSpaceDE w:val="0"/>
        <w:autoSpaceDN w:val="0"/>
        <w:adjustRightInd w:val="0"/>
        <w:spacing w:after="0" w:line="240" w:lineRule="auto"/>
        <w:ind w:firstLine="556"/>
        <w:jc w:val="both"/>
        <w:rPr>
          <w:rFonts w:ascii="Times New Roman" w:hAnsi="Times New Roman" w:cs="Times New Roman"/>
          <w:sz w:val="23"/>
          <w:szCs w:val="23"/>
        </w:rPr>
      </w:pPr>
      <w:r w:rsidRPr="00627668">
        <w:rPr>
          <w:rFonts w:ascii="Times New Roman" w:hAnsi="Times New Roman" w:cs="Times New Roman"/>
          <w:sz w:val="23"/>
          <w:szCs w:val="23"/>
        </w:rPr>
        <w:t xml:space="preserve"> Персонал                                                                                      2 911 165 лв.</w:t>
      </w:r>
    </w:p>
    <w:p w:rsidR="00711473" w:rsidRPr="00627668" w:rsidRDefault="00711473" w:rsidP="00711473">
      <w:pPr>
        <w:numPr>
          <w:ilvl w:val="0"/>
          <w:numId w:val="22"/>
        </w:numPr>
        <w:autoSpaceDE w:val="0"/>
        <w:autoSpaceDN w:val="0"/>
        <w:adjustRightInd w:val="0"/>
        <w:spacing w:after="0" w:line="240" w:lineRule="auto"/>
        <w:ind w:firstLine="556"/>
        <w:jc w:val="both"/>
        <w:rPr>
          <w:rFonts w:ascii="Times New Roman" w:hAnsi="Times New Roman" w:cs="Times New Roman"/>
          <w:sz w:val="23"/>
          <w:szCs w:val="23"/>
        </w:rPr>
      </w:pPr>
      <w:r w:rsidRPr="00627668">
        <w:rPr>
          <w:rFonts w:ascii="Times New Roman" w:hAnsi="Times New Roman" w:cs="Times New Roman"/>
          <w:sz w:val="23"/>
          <w:szCs w:val="23"/>
        </w:rPr>
        <w:t xml:space="preserve"> Издръжка                                                                                        417 398 лв.</w:t>
      </w:r>
    </w:p>
    <w:p w:rsidR="00711473" w:rsidRPr="00627668" w:rsidRDefault="00711473" w:rsidP="00711473">
      <w:pPr>
        <w:numPr>
          <w:ilvl w:val="0"/>
          <w:numId w:val="22"/>
        </w:numPr>
        <w:autoSpaceDE w:val="0"/>
        <w:autoSpaceDN w:val="0"/>
        <w:adjustRightInd w:val="0"/>
        <w:spacing w:after="0" w:line="240" w:lineRule="auto"/>
        <w:ind w:firstLine="556"/>
        <w:jc w:val="both"/>
        <w:rPr>
          <w:rFonts w:ascii="Times New Roman" w:hAnsi="Times New Roman" w:cs="Times New Roman"/>
          <w:sz w:val="23"/>
          <w:szCs w:val="23"/>
        </w:rPr>
      </w:pPr>
      <w:r w:rsidRPr="00627668">
        <w:rPr>
          <w:rFonts w:ascii="Times New Roman" w:hAnsi="Times New Roman" w:cs="Times New Roman"/>
          <w:sz w:val="23"/>
          <w:szCs w:val="23"/>
        </w:rPr>
        <w:t xml:space="preserve"> Капиталови разходи                                                                           3 061 лв.</w:t>
      </w:r>
    </w:p>
    <w:p w:rsidR="000937F7" w:rsidRPr="00627668" w:rsidRDefault="00FB19EB" w:rsidP="00981DBA">
      <w:pPr>
        <w:autoSpaceDE w:val="0"/>
        <w:autoSpaceDN w:val="0"/>
        <w:adjustRightInd w:val="0"/>
        <w:spacing w:after="0" w:line="240" w:lineRule="auto"/>
        <w:jc w:val="both"/>
        <w:rPr>
          <w:rFonts w:ascii="Times New Roman" w:hAnsi="Times New Roman" w:cs="Times New Roman"/>
          <w:b/>
          <w:sz w:val="23"/>
          <w:szCs w:val="23"/>
        </w:rPr>
      </w:pPr>
      <w:r w:rsidRPr="00627668">
        <w:rPr>
          <w:rFonts w:ascii="Times New Roman" w:hAnsi="Times New Roman" w:cs="Times New Roman"/>
          <w:b/>
          <w:sz w:val="23"/>
          <w:szCs w:val="23"/>
        </w:rPr>
        <w:t>III. ПРЕГЛЕД НА НАСТЪПИЛИТЕ ПРОМЕНИ В ОРГАНИЗАЦИОННАТА  СТРУКТУРА</w:t>
      </w:r>
      <w:r w:rsidR="00981DBA" w:rsidRPr="00627668">
        <w:rPr>
          <w:rFonts w:ascii="Times New Roman" w:hAnsi="Times New Roman" w:cs="Times New Roman"/>
          <w:b/>
          <w:sz w:val="23"/>
          <w:szCs w:val="23"/>
        </w:rPr>
        <w:t xml:space="preserve"> И </w:t>
      </w:r>
      <w:r w:rsidR="00685C99" w:rsidRPr="00627668">
        <w:rPr>
          <w:rFonts w:ascii="Times New Roman" w:hAnsi="Times New Roman" w:cs="Times New Roman"/>
          <w:b/>
          <w:sz w:val="23"/>
          <w:szCs w:val="23"/>
        </w:rPr>
        <w:t>ПОКАЗАТЕЛИТЕ ПО БЮДЖЕТА</w:t>
      </w:r>
    </w:p>
    <w:p w:rsidR="003C6FC1" w:rsidRPr="00627668" w:rsidRDefault="00FB19EB" w:rsidP="00473541">
      <w:pPr>
        <w:spacing w:after="0" w:line="240" w:lineRule="auto"/>
        <w:ind w:firstLine="709"/>
        <w:jc w:val="both"/>
        <w:rPr>
          <w:rFonts w:ascii="Times New Roman" w:hAnsi="Times New Roman" w:cs="Times New Roman"/>
          <w:sz w:val="23"/>
          <w:szCs w:val="23"/>
        </w:rPr>
      </w:pPr>
      <w:r w:rsidRPr="00627668">
        <w:rPr>
          <w:rFonts w:ascii="Times New Roman" w:hAnsi="Times New Roman" w:cs="Times New Roman"/>
          <w:sz w:val="23"/>
          <w:szCs w:val="23"/>
        </w:rPr>
        <w:t xml:space="preserve">Организационната структура и числеността на администрацията са регламентирани в Устройствения правилник на Комисията. В общата численост – 117 щатни бройки, се включват: председател, заместник-председател, петима членове на Комисията, главен секретар, служител по сигурността на информацията, обща администрация – 23 бр. и специализирана администрация – 85 бр., като </w:t>
      </w:r>
      <w:r w:rsidR="00897EF1" w:rsidRPr="00627668">
        <w:rPr>
          <w:rFonts w:ascii="Times New Roman" w:hAnsi="Times New Roman" w:cs="Times New Roman"/>
          <w:sz w:val="23"/>
          <w:szCs w:val="23"/>
        </w:rPr>
        <w:t xml:space="preserve">през </w:t>
      </w:r>
      <w:r w:rsidRPr="00627668">
        <w:rPr>
          <w:rFonts w:ascii="Times New Roman" w:hAnsi="Times New Roman" w:cs="Times New Roman"/>
          <w:sz w:val="23"/>
          <w:szCs w:val="23"/>
        </w:rPr>
        <w:t xml:space="preserve">отчетния период няма настъпили промени. </w:t>
      </w:r>
    </w:p>
    <w:p w:rsidR="002438EB" w:rsidRPr="00627668" w:rsidRDefault="002438EB" w:rsidP="00F56C19">
      <w:pPr>
        <w:pStyle w:val="BodyText"/>
        <w:widowControl w:val="0"/>
        <w:spacing w:line="240" w:lineRule="auto"/>
        <w:rPr>
          <w:b/>
          <w:sz w:val="23"/>
          <w:szCs w:val="23"/>
          <w:lang w:val="bg-BG"/>
        </w:rPr>
      </w:pPr>
      <w:r w:rsidRPr="00627668">
        <w:rPr>
          <w:b/>
          <w:sz w:val="23"/>
          <w:szCs w:val="23"/>
          <w:lang w:val="bg-BG"/>
        </w:rPr>
        <w:t>IV. ПРЕГЛЕД НА НАСТЪПИЛИТЕ ПРОМЕНИ НА ПОКАЗАТЕЛИТЕ ПО БЮДЖЕТА</w:t>
      </w:r>
    </w:p>
    <w:p w:rsidR="00D4656A" w:rsidRPr="00627668" w:rsidRDefault="00FD5847" w:rsidP="00FD5847">
      <w:pPr>
        <w:spacing w:after="0" w:line="276" w:lineRule="auto"/>
        <w:ind w:firstLine="709"/>
        <w:jc w:val="both"/>
        <w:rPr>
          <w:rFonts w:ascii="Times New Roman" w:hAnsi="Times New Roman" w:cs="Times New Roman"/>
          <w:sz w:val="23"/>
          <w:szCs w:val="23"/>
        </w:rPr>
      </w:pPr>
      <w:r w:rsidRPr="00627668">
        <w:rPr>
          <w:rFonts w:ascii="Times New Roman" w:hAnsi="Times New Roman" w:cs="Times New Roman"/>
          <w:sz w:val="23"/>
          <w:szCs w:val="23"/>
        </w:rPr>
        <w:t>През периода 01.01.2025 – 30.06.2025 г. по бюджета на КЗК няма извършени промени.</w:t>
      </w:r>
    </w:p>
    <w:p w:rsidR="00543EEE" w:rsidRPr="00627668" w:rsidRDefault="00543EEE" w:rsidP="00FD5847">
      <w:pPr>
        <w:spacing w:after="0" w:line="276" w:lineRule="auto"/>
        <w:ind w:firstLine="709"/>
        <w:jc w:val="both"/>
        <w:rPr>
          <w:rFonts w:ascii="Times New Roman" w:hAnsi="Times New Roman" w:cs="Times New Roman"/>
          <w:sz w:val="23"/>
          <w:szCs w:val="23"/>
        </w:rPr>
      </w:pPr>
    </w:p>
    <w:p w:rsidR="000937F7" w:rsidRPr="00627668" w:rsidRDefault="00576E21" w:rsidP="00A225A1">
      <w:pPr>
        <w:shd w:val="clear" w:color="auto" w:fill="FFFFFF"/>
        <w:tabs>
          <w:tab w:val="left" w:pos="709"/>
        </w:tabs>
        <w:spacing w:after="0" w:line="240" w:lineRule="auto"/>
        <w:jc w:val="both"/>
        <w:rPr>
          <w:rFonts w:ascii="Times New Roman" w:hAnsi="Times New Roman" w:cs="Times New Roman"/>
          <w:b/>
          <w:sz w:val="23"/>
          <w:szCs w:val="23"/>
        </w:rPr>
      </w:pPr>
      <w:r w:rsidRPr="00627668">
        <w:rPr>
          <w:rFonts w:ascii="Times New Roman" w:hAnsi="Times New Roman" w:cs="Times New Roman"/>
          <w:b/>
          <w:sz w:val="23"/>
          <w:szCs w:val="23"/>
        </w:rPr>
        <w:lastRenderedPageBreak/>
        <w:t xml:space="preserve">V. </w:t>
      </w:r>
      <w:r w:rsidR="00685C99" w:rsidRPr="00627668">
        <w:rPr>
          <w:rFonts w:ascii="Times New Roman" w:hAnsi="Times New Roman" w:cs="Times New Roman"/>
          <w:b/>
          <w:sz w:val="23"/>
          <w:szCs w:val="23"/>
        </w:rPr>
        <w:t xml:space="preserve">ПРЕГЛЕД НА ФУНКЦИОНАЛНА ОБЛАСТ </w:t>
      </w:r>
    </w:p>
    <w:p w:rsidR="00B84BB7" w:rsidRPr="00627668" w:rsidRDefault="00044621" w:rsidP="009F2628">
      <w:pPr>
        <w:spacing w:after="0" w:line="240" w:lineRule="auto"/>
        <w:ind w:firstLine="709"/>
        <w:jc w:val="both"/>
        <w:rPr>
          <w:rFonts w:ascii="Times New Roman" w:hAnsi="Times New Roman" w:cs="Times New Roman"/>
          <w:sz w:val="23"/>
          <w:szCs w:val="23"/>
        </w:rPr>
      </w:pPr>
      <w:r w:rsidRPr="00627668">
        <w:rPr>
          <w:rFonts w:ascii="Times New Roman" w:hAnsi="Times New Roman" w:cs="Times New Roman"/>
          <w:sz w:val="23"/>
          <w:szCs w:val="23"/>
        </w:rPr>
        <w:t xml:space="preserve">Комисия за защита на конкуренцията осъществява дейност в областта на </w:t>
      </w:r>
      <w:r w:rsidR="00685C99" w:rsidRPr="00627668">
        <w:rPr>
          <w:rFonts w:ascii="Times New Roman" w:hAnsi="Times New Roman" w:cs="Times New Roman"/>
          <w:b/>
          <w:i/>
          <w:sz w:val="23"/>
          <w:szCs w:val="23"/>
        </w:rPr>
        <w:t>з</w:t>
      </w:r>
      <w:r w:rsidRPr="00627668">
        <w:rPr>
          <w:rFonts w:ascii="Times New Roman" w:hAnsi="Times New Roman" w:cs="Times New Roman"/>
          <w:b/>
          <w:i/>
          <w:sz w:val="23"/>
          <w:szCs w:val="23"/>
        </w:rPr>
        <w:t>ащитата на конкуренцията и контрола на законосъобразността при процедурите по възлагане на обществени поръчки и предоставяне на  концесии.</w:t>
      </w:r>
      <w:r w:rsidRPr="00627668">
        <w:rPr>
          <w:rFonts w:ascii="Times New Roman" w:hAnsi="Times New Roman" w:cs="Times New Roman"/>
          <w:sz w:val="23"/>
          <w:szCs w:val="23"/>
        </w:rPr>
        <w:t xml:space="preserve"> </w:t>
      </w:r>
    </w:p>
    <w:p w:rsidR="00B84BB7" w:rsidRPr="00627668" w:rsidRDefault="00B84BB7" w:rsidP="009F2628">
      <w:pPr>
        <w:spacing w:after="0" w:line="240" w:lineRule="auto"/>
        <w:ind w:right="-144" w:firstLine="709"/>
        <w:jc w:val="both"/>
        <w:rPr>
          <w:rFonts w:ascii="Times New Roman" w:eastAsia="Times New Roman" w:hAnsi="Times New Roman" w:cs="Times New Roman"/>
          <w:i/>
          <w:sz w:val="23"/>
          <w:szCs w:val="23"/>
          <w:lang w:eastAsia="bg-BG"/>
        </w:rPr>
      </w:pPr>
      <w:r w:rsidRPr="00627668">
        <w:rPr>
          <w:rFonts w:ascii="Times New Roman" w:eastAsia="Times New Roman" w:hAnsi="Times New Roman" w:cs="Times New Roman"/>
          <w:sz w:val="23"/>
          <w:szCs w:val="23"/>
          <w:lang w:eastAsia="bg-BG"/>
        </w:rPr>
        <w:t xml:space="preserve">Основна </w:t>
      </w:r>
      <w:r w:rsidRPr="00627668">
        <w:rPr>
          <w:rFonts w:ascii="Times New Roman" w:eastAsia="Times New Roman" w:hAnsi="Times New Roman" w:cs="Times New Roman"/>
          <w:b/>
          <w:sz w:val="23"/>
          <w:szCs w:val="23"/>
          <w:lang w:eastAsia="bg-BG"/>
        </w:rPr>
        <w:t>стратегическа цел</w:t>
      </w:r>
      <w:r w:rsidRPr="00627668">
        <w:rPr>
          <w:rFonts w:ascii="Times New Roman" w:eastAsia="Times New Roman" w:hAnsi="Times New Roman" w:cs="Times New Roman"/>
          <w:sz w:val="23"/>
          <w:szCs w:val="23"/>
          <w:lang w:eastAsia="bg-BG"/>
        </w:rPr>
        <w:t xml:space="preserve"> на Комисията е да </w:t>
      </w:r>
      <w:r w:rsidRPr="00627668">
        <w:rPr>
          <w:rFonts w:ascii="Times New Roman" w:eastAsia="Times New Roman" w:hAnsi="Times New Roman" w:cs="Times New Roman"/>
          <w:i/>
          <w:sz w:val="23"/>
          <w:szCs w:val="23"/>
          <w:lang w:eastAsia="bg-BG"/>
        </w:rPr>
        <w:t xml:space="preserve">гарантира защитата и  създава условия за развитие на конкуренцията и свободната инициатива в стопанската дейност, и осъществява контрол за законосъобразност на решенията, действията и бездействията на възложители  по процедури  за възлагане на обществени поръчки и на </w:t>
      </w:r>
      <w:proofErr w:type="spellStart"/>
      <w:r w:rsidRPr="00627668">
        <w:rPr>
          <w:rFonts w:ascii="Times New Roman" w:eastAsia="Times New Roman" w:hAnsi="Times New Roman" w:cs="Times New Roman"/>
          <w:i/>
          <w:sz w:val="23"/>
          <w:szCs w:val="23"/>
          <w:lang w:eastAsia="bg-BG"/>
        </w:rPr>
        <w:t>концеденти</w:t>
      </w:r>
      <w:proofErr w:type="spellEnd"/>
      <w:r w:rsidRPr="00627668">
        <w:rPr>
          <w:rFonts w:ascii="Times New Roman" w:eastAsia="Times New Roman" w:hAnsi="Times New Roman" w:cs="Times New Roman"/>
          <w:i/>
          <w:sz w:val="23"/>
          <w:szCs w:val="23"/>
          <w:lang w:eastAsia="bg-BG"/>
        </w:rPr>
        <w:t xml:space="preserve"> по  процедури за предоставяне на концесии. </w:t>
      </w:r>
    </w:p>
    <w:p w:rsidR="00044621" w:rsidRPr="00627668" w:rsidRDefault="00C03988" w:rsidP="00472A57">
      <w:pPr>
        <w:spacing w:after="0" w:line="240" w:lineRule="auto"/>
        <w:ind w:firstLine="709"/>
        <w:jc w:val="both"/>
        <w:rPr>
          <w:rFonts w:ascii="Times New Roman" w:hAnsi="Times New Roman" w:cs="Times New Roman"/>
          <w:b/>
          <w:i/>
          <w:sz w:val="23"/>
          <w:szCs w:val="23"/>
        </w:rPr>
      </w:pPr>
      <w:r w:rsidRPr="00627668">
        <w:rPr>
          <w:rFonts w:ascii="Times New Roman" w:hAnsi="Times New Roman" w:cs="Times New Roman"/>
          <w:sz w:val="23"/>
          <w:szCs w:val="23"/>
        </w:rPr>
        <w:t>За изпълнението на целите на Комисията допринася взаимодействието с</w:t>
      </w:r>
      <w:r w:rsidR="00B84BB7" w:rsidRPr="00627668">
        <w:rPr>
          <w:rFonts w:ascii="Times New Roman" w:hAnsi="Times New Roman" w:cs="Times New Roman"/>
          <w:sz w:val="23"/>
          <w:szCs w:val="23"/>
        </w:rPr>
        <w:t xml:space="preserve"> други институции, </w:t>
      </w:r>
      <w:r w:rsidR="00044621" w:rsidRPr="00627668">
        <w:rPr>
          <w:rFonts w:ascii="Times New Roman" w:hAnsi="Times New Roman" w:cs="Times New Roman"/>
          <w:sz w:val="23"/>
          <w:szCs w:val="23"/>
        </w:rPr>
        <w:t xml:space="preserve">национални органи по конкуренцията на държавите - членки на Европейския съюз, </w:t>
      </w:r>
      <w:r w:rsidR="00B84BB7" w:rsidRPr="00627668">
        <w:rPr>
          <w:rFonts w:ascii="Times New Roman" w:hAnsi="Times New Roman" w:cs="Times New Roman"/>
          <w:sz w:val="23"/>
          <w:szCs w:val="23"/>
        </w:rPr>
        <w:t>държавни органи, органи по изпълнителната власт и други.</w:t>
      </w:r>
    </w:p>
    <w:p w:rsidR="00977077" w:rsidRPr="00627668" w:rsidRDefault="000B43CE" w:rsidP="00472A57">
      <w:pPr>
        <w:pStyle w:val="BodyText"/>
        <w:widowControl w:val="0"/>
        <w:tabs>
          <w:tab w:val="left" w:pos="851"/>
        </w:tabs>
        <w:spacing w:line="240" w:lineRule="auto"/>
        <w:ind w:left="709" w:hanging="709"/>
        <w:rPr>
          <w:b/>
          <w:sz w:val="23"/>
          <w:szCs w:val="23"/>
          <w:lang w:val="bg-BG"/>
        </w:rPr>
      </w:pPr>
      <w:r w:rsidRPr="00627668">
        <w:rPr>
          <w:b/>
          <w:sz w:val="23"/>
          <w:szCs w:val="23"/>
        </w:rPr>
        <w:t xml:space="preserve">VI.  </w:t>
      </w:r>
      <w:r w:rsidR="00266C28" w:rsidRPr="00627668">
        <w:rPr>
          <w:b/>
          <w:sz w:val="23"/>
          <w:szCs w:val="23"/>
          <w:lang w:val="bg-BG"/>
        </w:rPr>
        <w:t xml:space="preserve"> </w:t>
      </w:r>
      <w:r w:rsidR="00576E21" w:rsidRPr="00627668">
        <w:rPr>
          <w:b/>
          <w:sz w:val="23"/>
          <w:szCs w:val="23"/>
          <w:lang w:val="bg-BG"/>
        </w:rPr>
        <w:t>ПРЕГЛЕД НА БЮДЖЕТНА</w:t>
      </w:r>
      <w:r w:rsidR="00266C28" w:rsidRPr="00627668">
        <w:rPr>
          <w:b/>
          <w:sz w:val="23"/>
          <w:szCs w:val="23"/>
          <w:lang w:val="bg-BG"/>
        </w:rPr>
        <w:t>ТА</w:t>
      </w:r>
      <w:r w:rsidR="00576E21" w:rsidRPr="00627668">
        <w:rPr>
          <w:b/>
          <w:sz w:val="23"/>
          <w:szCs w:val="23"/>
          <w:lang w:val="bg-BG"/>
        </w:rPr>
        <w:t xml:space="preserve"> ПРОГРАМА </w:t>
      </w:r>
    </w:p>
    <w:p w:rsidR="006A1470" w:rsidRPr="00627668" w:rsidRDefault="00B53F4F" w:rsidP="00D910D6">
      <w:pPr>
        <w:pStyle w:val="BodyText"/>
        <w:widowControl w:val="0"/>
        <w:tabs>
          <w:tab w:val="left" w:pos="851"/>
        </w:tabs>
        <w:spacing w:line="240" w:lineRule="auto"/>
        <w:ind w:firstLine="709"/>
        <w:rPr>
          <w:b/>
          <w:sz w:val="23"/>
          <w:szCs w:val="23"/>
          <w:lang w:val="bg-BG"/>
        </w:rPr>
      </w:pPr>
      <w:r w:rsidRPr="00627668">
        <w:rPr>
          <w:sz w:val="23"/>
          <w:szCs w:val="23"/>
        </w:rPr>
        <w:t xml:space="preserve">В </w:t>
      </w:r>
      <w:proofErr w:type="spellStart"/>
      <w:r w:rsidRPr="00627668">
        <w:rPr>
          <w:sz w:val="23"/>
          <w:szCs w:val="23"/>
        </w:rPr>
        <w:t>работния</w:t>
      </w:r>
      <w:proofErr w:type="spellEnd"/>
      <w:r w:rsidRPr="00627668">
        <w:rPr>
          <w:sz w:val="23"/>
          <w:szCs w:val="23"/>
        </w:rPr>
        <w:t xml:space="preserve"> </w:t>
      </w:r>
      <w:proofErr w:type="spellStart"/>
      <w:r w:rsidRPr="00627668">
        <w:rPr>
          <w:sz w:val="23"/>
          <w:szCs w:val="23"/>
        </w:rPr>
        <w:t>процес</w:t>
      </w:r>
      <w:proofErr w:type="spellEnd"/>
      <w:r w:rsidRPr="00627668">
        <w:rPr>
          <w:sz w:val="23"/>
          <w:szCs w:val="23"/>
        </w:rPr>
        <w:t xml:space="preserve"> </w:t>
      </w:r>
      <w:proofErr w:type="spellStart"/>
      <w:r w:rsidRPr="00627668">
        <w:rPr>
          <w:sz w:val="23"/>
          <w:szCs w:val="23"/>
        </w:rPr>
        <w:t>на</w:t>
      </w:r>
      <w:proofErr w:type="spellEnd"/>
      <w:r w:rsidRPr="00627668">
        <w:rPr>
          <w:sz w:val="23"/>
          <w:szCs w:val="23"/>
        </w:rPr>
        <w:t xml:space="preserve"> </w:t>
      </w:r>
      <w:proofErr w:type="spellStart"/>
      <w:r w:rsidRPr="00627668">
        <w:rPr>
          <w:sz w:val="23"/>
          <w:szCs w:val="23"/>
        </w:rPr>
        <w:t>Комисията</w:t>
      </w:r>
      <w:proofErr w:type="spellEnd"/>
      <w:r w:rsidRPr="00627668">
        <w:rPr>
          <w:sz w:val="23"/>
          <w:szCs w:val="23"/>
        </w:rPr>
        <w:t xml:space="preserve"> </w:t>
      </w:r>
      <w:proofErr w:type="spellStart"/>
      <w:r w:rsidRPr="00627668">
        <w:rPr>
          <w:sz w:val="23"/>
          <w:szCs w:val="23"/>
        </w:rPr>
        <w:t>през</w:t>
      </w:r>
      <w:proofErr w:type="spellEnd"/>
      <w:r w:rsidRPr="00627668">
        <w:rPr>
          <w:sz w:val="23"/>
          <w:szCs w:val="23"/>
        </w:rPr>
        <w:t xml:space="preserve"> </w:t>
      </w:r>
      <w:proofErr w:type="spellStart"/>
      <w:r w:rsidRPr="00627668">
        <w:rPr>
          <w:sz w:val="23"/>
          <w:szCs w:val="23"/>
        </w:rPr>
        <w:t>отчетния</w:t>
      </w:r>
      <w:proofErr w:type="spellEnd"/>
      <w:r w:rsidRPr="00627668">
        <w:rPr>
          <w:sz w:val="23"/>
          <w:szCs w:val="23"/>
        </w:rPr>
        <w:t xml:space="preserve"> </w:t>
      </w:r>
      <w:proofErr w:type="spellStart"/>
      <w:r w:rsidRPr="00627668">
        <w:rPr>
          <w:sz w:val="23"/>
          <w:szCs w:val="23"/>
        </w:rPr>
        <w:t>период</w:t>
      </w:r>
      <w:proofErr w:type="spellEnd"/>
      <w:r w:rsidR="00932BDC" w:rsidRPr="00627668">
        <w:rPr>
          <w:sz w:val="23"/>
          <w:szCs w:val="23"/>
        </w:rPr>
        <w:t xml:space="preserve"> </w:t>
      </w:r>
      <w:proofErr w:type="spellStart"/>
      <w:r w:rsidR="00932BDC" w:rsidRPr="00627668">
        <w:rPr>
          <w:sz w:val="23"/>
          <w:szCs w:val="23"/>
        </w:rPr>
        <w:t>бяха</w:t>
      </w:r>
      <w:proofErr w:type="spellEnd"/>
      <w:r w:rsidR="00932BDC" w:rsidRPr="00627668">
        <w:rPr>
          <w:sz w:val="23"/>
          <w:szCs w:val="23"/>
        </w:rPr>
        <w:t xml:space="preserve"> </w:t>
      </w:r>
      <w:proofErr w:type="spellStart"/>
      <w:r w:rsidR="00932BDC" w:rsidRPr="00627668">
        <w:rPr>
          <w:sz w:val="23"/>
          <w:szCs w:val="23"/>
        </w:rPr>
        <w:t>предвидени</w:t>
      </w:r>
      <w:proofErr w:type="spellEnd"/>
      <w:r w:rsidR="00932BDC" w:rsidRPr="00627668">
        <w:rPr>
          <w:sz w:val="23"/>
          <w:szCs w:val="23"/>
        </w:rPr>
        <w:t xml:space="preserve"> и </w:t>
      </w:r>
      <w:proofErr w:type="spellStart"/>
      <w:r w:rsidR="00932BDC" w:rsidRPr="00627668">
        <w:rPr>
          <w:sz w:val="23"/>
          <w:szCs w:val="23"/>
        </w:rPr>
        <w:t>осъществени</w:t>
      </w:r>
      <w:proofErr w:type="spellEnd"/>
      <w:r w:rsidR="00932BDC" w:rsidRPr="00627668">
        <w:rPr>
          <w:sz w:val="23"/>
          <w:szCs w:val="23"/>
        </w:rPr>
        <w:t xml:space="preserve"> </w:t>
      </w:r>
      <w:proofErr w:type="spellStart"/>
      <w:r w:rsidRPr="00627668">
        <w:rPr>
          <w:sz w:val="23"/>
          <w:szCs w:val="23"/>
        </w:rPr>
        <w:t>дейности</w:t>
      </w:r>
      <w:proofErr w:type="spellEnd"/>
      <w:r w:rsidRPr="00627668">
        <w:rPr>
          <w:sz w:val="23"/>
          <w:szCs w:val="23"/>
        </w:rPr>
        <w:t xml:space="preserve">, </w:t>
      </w:r>
      <w:proofErr w:type="spellStart"/>
      <w:r w:rsidRPr="00627668">
        <w:rPr>
          <w:sz w:val="23"/>
          <w:szCs w:val="23"/>
        </w:rPr>
        <w:t>които</w:t>
      </w:r>
      <w:proofErr w:type="spellEnd"/>
      <w:r w:rsidRPr="00627668">
        <w:rPr>
          <w:sz w:val="23"/>
          <w:szCs w:val="23"/>
        </w:rPr>
        <w:t xml:space="preserve"> в </w:t>
      </w:r>
      <w:proofErr w:type="spellStart"/>
      <w:r w:rsidRPr="00627668">
        <w:rPr>
          <w:sz w:val="23"/>
          <w:szCs w:val="23"/>
        </w:rPr>
        <w:t>своята</w:t>
      </w:r>
      <w:proofErr w:type="spellEnd"/>
      <w:r w:rsidRPr="00627668">
        <w:rPr>
          <w:sz w:val="23"/>
          <w:szCs w:val="23"/>
        </w:rPr>
        <w:t xml:space="preserve"> </w:t>
      </w:r>
      <w:proofErr w:type="spellStart"/>
      <w:r w:rsidRPr="00627668">
        <w:rPr>
          <w:sz w:val="23"/>
          <w:szCs w:val="23"/>
        </w:rPr>
        <w:t>съвкупност</w:t>
      </w:r>
      <w:proofErr w:type="spellEnd"/>
      <w:r w:rsidRPr="00627668">
        <w:rPr>
          <w:sz w:val="23"/>
          <w:szCs w:val="23"/>
        </w:rPr>
        <w:t xml:space="preserve"> </w:t>
      </w:r>
      <w:proofErr w:type="spellStart"/>
      <w:r w:rsidRPr="00627668">
        <w:rPr>
          <w:sz w:val="23"/>
          <w:szCs w:val="23"/>
        </w:rPr>
        <w:t>да</w:t>
      </w:r>
      <w:proofErr w:type="spellEnd"/>
      <w:r w:rsidRPr="00627668">
        <w:rPr>
          <w:sz w:val="23"/>
          <w:szCs w:val="23"/>
        </w:rPr>
        <w:t xml:space="preserve"> </w:t>
      </w:r>
      <w:proofErr w:type="spellStart"/>
      <w:r w:rsidRPr="00627668">
        <w:rPr>
          <w:sz w:val="23"/>
          <w:szCs w:val="23"/>
        </w:rPr>
        <w:t>доведат</w:t>
      </w:r>
      <w:proofErr w:type="spellEnd"/>
      <w:r w:rsidRPr="00627668">
        <w:rPr>
          <w:sz w:val="23"/>
          <w:szCs w:val="23"/>
        </w:rPr>
        <w:t xml:space="preserve"> до </w:t>
      </w:r>
      <w:proofErr w:type="spellStart"/>
      <w:r w:rsidRPr="00627668">
        <w:rPr>
          <w:sz w:val="23"/>
          <w:szCs w:val="23"/>
        </w:rPr>
        <w:t>изпълнението</w:t>
      </w:r>
      <w:proofErr w:type="spellEnd"/>
      <w:r w:rsidRPr="00627668">
        <w:rPr>
          <w:sz w:val="23"/>
          <w:szCs w:val="23"/>
        </w:rPr>
        <w:t xml:space="preserve"> </w:t>
      </w:r>
      <w:proofErr w:type="spellStart"/>
      <w:r w:rsidRPr="00627668">
        <w:rPr>
          <w:sz w:val="23"/>
          <w:szCs w:val="23"/>
        </w:rPr>
        <w:t>на</w:t>
      </w:r>
      <w:proofErr w:type="spellEnd"/>
      <w:r w:rsidRPr="00627668">
        <w:rPr>
          <w:sz w:val="23"/>
          <w:szCs w:val="23"/>
        </w:rPr>
        <w:t xml:space="preserve"> </w:t>
      </w:r>
      <w:proofErr w:type="spellStart"/>
      <w:r w:rsidRPr="00627668">
        <w:rPr>
          <w:sz w:val="23"/>
          <w:szCs w:val="23"/>
        </w:rPr>
        <w:t>заложените</w:t>
      </w:r>
      <w:proofErr w:type="spellEnd"/>
      <w:r w:rsidR="00B84BB7" w:rsidRPr="00627668">
        <w:rPr>
          <w:sz w:val="23"/>
          <w:szCs w:val="23"/>
        </w:rPr>
        <w:t xml:space="preserve"> в </w:t>
      </w:r>
      <w:proofErr w:type="spellStart"/>
      <w:r w:rsidR="00B84BB7" w:rsidRPr="00627668">
        <w:rPr>
          <w:sz w:val="23"/>
          <w:szCs w:val="23"/>
        </w:rPr>
        <w:t>програмата</w:t>
      </w:r>
      <w:proofErr w:type="spellEnd"/>
      <w:r w:rsidRPr="00627668">
        <w:rPr>
          <w:sz w:val="23"/>
          <w:szCs w:val="23"/>
        </w:rPr>
        <w:t xml:space="preserve"> </w:t>
      </w:r>
      <w:proofErr w:type="spellStart"/>
      <w:r w:rsidR="00B84BB7" w:rsidRPr="00627668">
        <w:rPr>
          <w:sz w:val="23"/>
          <w:szCs w:val="23"/>
        </w:rPr>
        <w:t>оперативни</w:t>
      </w:r>
      <w:proofErr w:type="spellEnd"/>
      <w:r w:rsidR="00B84BB7" w:rsidRPr="00627668">
        <w:rPr>
          <w:sz w:val="23"/>
          <w:szCs w:val="23"/>
        </w:rPr>
        <w:t xml:space="preserve"> </w:t>
      </w:r>
      <w:proofErr w:type="spellStart"/>
      <w:r w:rsidR="00B84BB7" w:rsidRPr="00627668">
        <w:rPr>
          <w:sz w:val="23"/>
          <w:szCs w:val="23"/>
        </w:rPr>
        <w:t>цели</w:t>
      </w:r>
      <w:proofErr w:type="spellEnd"/>
      <w:r w:rsidR="00B84BB7" w:rsidRPr="00627668">
        <w:rPr>
          <w:sz w:val="23"/>
          <w:szCs w:val="23"/>
        </w:rPr>
        <w:t>.</w:t>
      </w:r>
      <w:r w:rsidR="00977077" w:rsidRPr="00627668">
        <w:rPr>
          <w:sz w:val="23"/>
          <w:szCs w:val="23"/>
          <w:lang w:val="bg-BG"/>
        </w:rPr>
        <w:t xml:space="preserve"> </w:t>
      </w:r>
      <w:proofErr w:type="spellStart"/>
      <w:r w:rsidR="004635A4" w:rsidRPr="00627668">
        <w:rPr>
          <w:sz w:val="23"/>
          <w:szCs w:val="23"/>
        </w:rPr>
        <w:t>Пост</w:t>
      </w:r>
      <w:r w:rsidR="00E30400" w:rsidRPr="00627668">
        <w:rPr>
          <w:sz w:val="23"/>
          <w:szCs w:val="23"/>
        </w:rPr>
        <w:t>игнати</w:t>
      </w:r>
      <w:r w:rsidR="00B84BB7" w:rsidRPr="00627668">
        <w:rPr>
          <w:sz w:val="23"/>
          <w:szCs w:val="23"/>
        </w:rPr>
        <w:t>те</w:t>
      </w:r>
      <w:proofErr w:type="spellEnd"/>
      <w:r w:rsidR="00E30400" w:rsidRPr="00627668">
        <w:rPr>
          <w:sz w:val="23"/>
          <w:szCs w:val="23"/>
        </w:rPr>
        <w:t xml:space="preserve"> </w:t>
      </w:r>
      <w:proofErr w:type="spellStart"/>
      <w:r w:rsidR="00E30400" w:rsidRPr="00627668">
        <w:rPr>
          <w:sz w:val="23"/>
          <w:szCs w:val="23"/>
        </w:rPr>
        <w:t>резултати</w:t>
      </w:r>
      <w:proofErr w:type="spellEnd"/>
      <w:r w:rsidR="00E30400" w:rsidRPr="00627668">
        <w:rPr>
          <w:sz w:val="23"/>
          <w:szCs w:val="23"/>
        </w:rPr>
        <w:t xml:space="preserve"> </w:t>
      </w:r>
      <w:proofErr w:type="spellStart"/>
      <w:r w:rsidR="00E30400" w:rsidRPr="00627668">
        <w:rPr>
          <w:sz w:val="23"/>
          <w:szCs w:val="23"/>
        </w:rPr>
        <w:t>по</w:t>
      </w:r>
      <w:proofErr w:type="spellEnd"/>
      <w:r w:rsidR="00E30400" w:rsidRPr="00627668">
        <w:rPr>
          <w:sz w:val="23"/>
          <w:szCs w:val="23"/>
        </w:rPr>
        <w:t xml:space="preserve"> </w:t>
      </w:r>
      <w:proofErr w:type="spellStart"/>
      <w:r w:rsidR="003B6917" w:rsidRPr="00627668">
        <w:rPr>
          <w:sz w:val="23"/>
          <w:szCs w:val="23"/>
        </w:rPr>
        <w:t>предоставяните</w:t>
      </w:r>
      <w:proofErr w:type="spellEnd"/>
      <w:r w:rsidR="003B6917" w:rsidRPr="00627668">
        <w:rPr>
          <w:sz w:val="23"/>
          <w:szCs w:val="23"/>
        </w:rPr>
        <w:t xml:space="preserve"> </w:t>
      </w:r>
      <w:proofErr w:type="spellStart"/>
      <w:r w:rsidR="004635A4" w:rsidRPr="00627668">
        <w:rPr>
          <w:sz w:val="23"/>
          <w:szCs w:val="23"/>
        </w:rPr>
        <w:t>услуги</w:t>
      </w:r>
      <w:proofErr w:type="spellEnd"/>
      <w:r w:rsidR="00E30400" w:rsidRPr="00627668">
        <w:rPr>
          <w:sz w:val="23"/>
          <w:szCs w:val="23"/>
        </w:rPr>
        <w:t>,</w:t>
      </w:r>
      <w:r w:rsidR="00570909" w:rsidRPr="00627668">
        <w:rPr>
          <w:sz w:val="23"/>
          <w:szCs w:val="23"/>
        </w:rPr>
        <w:t xml:space="preserve"> </w:t>
      </w:r>
      <w:proofErr w:type="spellStart"/>
      <w:r w:rsidR="00E30400" w:rsidRPr="00627668">
        <w:rPr>
          <w:sz w:val="23"/>
          <w:szCs w:val="23"/>
        </w:rPr>
        <w:t>заложени</w:t>
      </w:r>
      <w:proofErr w:type="spellEnd"/>
      <w:r w:rsidR="00E30400" w:rsidRPr="00627668">
        <w:rPr>
          <w:sz w:val="23"/>
          <w:szCs w:val="23"/>
        </w:rPr>
        <w:t xml:space="preserve"> в</w:t>
      </w:r>
      <w:r w:rsidR="00B84BB7" w:rsidRPr="00627668">
        <w:rPr>
          <w:sz w:val="23"/>
          <w:szCs w:val="23"/>
        </w:rPr>
        <w:t xml:space="preserve"> </w:t>
      </w:r>
      <w:proofErr w:type="spellStart"/>
      <w:r w:rsidR="00B84BB7" w:rsidRPr="00627668">
        <w:rPr>
          <w:sz w:val="23"/>
          <w:szCs w:val="23"/>
        </w:rPr>
        <w:t>бюджетната</w:t>
      </w:r>
      <w:proofErr w:type="spellEnd"/>
      <w:r w:rsidR="00B84BB7" w:rsidRPr="00627668">
        <w:rPr>
          <w:sz w:val="23"/>
          <w:szCs w:val="23"/>
        </w:rPr>
        <w:t xml:space="preserve"> </w:t>
      </w:r>
      <w:proofErr w:type="spellStart"/>
      <w:r w:rsidR="00B84BB7" w:rsidRPr="00627668">
        <w:rPr>
          <w:sz w:val="23"/>
          <w:szCs w:val="23"/>
        </w:rPr>
        <w:t>програма</w:t>
      </w:r>
      <w:proofErr w:type="spellEnd"/>
      <w:r w:rsidR="00B84BB7" w:rsidRPr="00627668">
        <w:rPr>
          <w:sz w:val="23"/>
          <w:szCs w:val="23"/>
        </w:rPr>
        <w:t xml:space="preserve">, </w:t>
      </w:r>
      <w:proofErr w:type="spellStart"/>
      <w:r w:rsidR="00B84BB7" w:rsidRPr="00627668">
        <w:rPr>
          <w:sz w:val="23"/>
          <w:szCs w:val="23"/>
        </w:rPr>
        <w:t>могат</w:t>
      </w:r>
      <w:proofErr w:type="spellEnd"/>
      <w:r w:rsidR="00B84BB7" w:rsidRPr="00627668">
        <w:rPr>
          <w:sz w:val="23"/>
          <w:szCs w:val="23"/>
        </w:rPr>
        <w:t xml:space="preserve"> </w:t>
      </w:r>
      <w:proofErr w:type="spellStart"/>
      <w:r w:rsidR="00B84BB7" w:rsidRPr="00627668">
        <w:rPr>
          <w:sz w:val="23"/>
          <w:szCs w:val="23"/>
        </w:rPr>
        <w:t>да</w:t>
      </w:r>
      <w:proofErr w:type="spellEnd"/>
      <w:r w:rsidR="00B84BB7" w:rsidRPr="00627668">
        <w:rPr>
          <w:sz w:val="23"/>
          <w:szCs w:val="23"/>
        </w:rPr>
        <w:t xml:space="preserve"> </w:t>
      </w:r>
      <w:proofErr w:type="spellStart"/>
      <w:r w:rsidR="00B84BB7" w:rsidRPr="00627668">
        <w:rPr>
          <w:sz w:val="23"/>
          <w:szCs w:val="23"/>
        </w:rPr>
        <w:t>се</w:t>
      </w:r>
      <w:proofErr w:type="spellEnd"/>
      <w:r w:rsidR="00B84BB7" w:rsidRPr="00627668">
        <w:rPr>
          <w:sz w:val="23"/>
          <w:szCs w:val="23"/>
        </w:rPr>
        <w:t xml:space="preserve"> </w:t>
      </w:r>
      <w:proofErr w:type="spellStart"/>
      <w:r w:rsidR="00B84BB7" w:rsidRPr="00627668">
        <w:rPr>
          <w:sz w:val="23"/>
          <w:szCs w:val="23"/>
        </w:rPr>
        <w:t>обобщят</w:t>
      </w:r>
      <w:proofErr w:type="spellEnd"/>
      <w:r w:rsidR="00B84BB7" w:rsidRPr="00627668">
        <w:rPr>
          <w:sz w:val="23"/>
          <w:szCs w:val="23"/>
        </w:rPr>
        <w:t xml:space="preserve"> </w:t>
      </w:r>
      <w:proofErr w:type="spellStart"/>
      <w:r w:rsidR="00B84BB7" w:rsidRPr="00627668">
        <w:rPr>
          <w:sz w:val="23"/>
          <w:szCs w:val="23"/>
        </w:rPr>
        <w:t>както</w:t>
      </w:r>
      <w:proofErr w:type="spellEnd"/>
      <w:r w:rsidR="00B84BB7" w:rsidRPr="00627668">
        <w:rPr>
          <w:sz w:val="23"/>
          <w:szCs w:val="23"/>
        </w:rPr>
        <w:t xml:space="preserve"> </w:t>
      </w:r>
      <w:proofErr w:type="spellStart"/>
      <w:r w:rsidR="00B84BB7" w:rsidRPr="00627668">
        <w:rPr>
          <w:sz w:val="23"/>
          <w:szCs w:val="23"/>
        </w:rPr>
        <w:t>следва</w:t>
      </w:r>
      <w:proofErr w:type="spellEnd"/>
      <w:r w:rsidR="00B84BB7" w:rsidRPr="00627668">
        <w:rPr>
          <w:sz w:val="23"/>
          <w:szCs w:val="23"/>
        </w:rPr>
        <w:t>:</w:t>
      </w:r>
    </w:p>
    <w:p w:rsidR="003B381F" w:rsidRPr="00627668" w:rsidRDefault="00C233D6" w:rsidP="00D910D6">
      <w:pPr>
        <w:pStyle w:val="ListParagraph"/>
        <w:numPr>
          <w:ilvl w:val="0"/>
          <w:numId w:val="30"/>
        </w:numPr>
        <w:tabs>
          <w:tab w:val="left" w:pos="993"/>
        </w:tabs>
        <w:ind w:left="0" w:firstLine="709"/>
        <w:jc w:val="both"/>
        <w:rPr>
          <w:rFonts w:ascii="Times New Roman" w:hAnsi="Times New Roman" w:cs="Times New Roman"/>
          <w:b/>
          <w:sz w:val="23"/>
          <w:szCs w:val="23"/>
        </w:rPr>
      </w:pPr>
      <w:r w:rsidRPr="00627668">
        <w:rPr>
          <w:rFonts w:ascii="Times New Roman" w:hAnsi="Times New Roman" w:cs="Times New Roman"/>
          <w:b/>
          <w:sz w:val="23"/>
          <w:szCs w:val="23"/>
        </w:rPr>
        <w:t>Издаване на индивидуални административни актове по Закона за защ</w:t>
      </w:r>
      <w:r w:rsidR="00BF71B1" w:rsidRPr="00627668">
        <w:rPr>
          <w:rFonts w:ascii="Times New Roman" w:hAnsi="Times New Roman" w:cs="Times New Roman"/>
          <w:b/>
          <w:sz w:val="23"/>
          <w:szCs w:val="23"/>
        </w:rPr>
        <w:t>ита на конкуренцията</w:t>
      </w:r>
      <w:r w:rsidRPr="00627668">
        <w:rPr>
          <w:rFonts w:ascii="Times New Roman" w:hAnsi="Times New Roman" w:cs="Times New Roman"/>
          <w:b/>
          <w:sz w:val="23"/>
          <w:szCs w:val="23"/>
        </w:rPr>
        <w:t xml:space="preserve"> </w:t>
      </w:r>
    </w:p>
    <w:p w:rsidR="00B83171" w:rsidRPr="00627668" w:rsidRDefault="00205668" w:rsidP="00D910D6">
      <w:pPr>
        <w:pStyle w:val="ListParagraph"/>
        <w:numPr>
          <w:ilvl w:val="0"/>
          <w:numId w:val="49"/>
        </w:numPr>
        <w:jc w:val="both"/>
        <w:rPr>
          <w:rFonts w:ascii="Times New Roman" w:hAnsi="Times New Roman" w:cs="Times New Roman"/>
          <w:b/>
          <w:sz w:val="23"/>
          <w:szCs w:val="23"/>
        </w:rPr>
      </w:pPr>
      <w:r w:rsidRPr="00627668">
        <w:rPr>
          <w:rFonts w:ascii="Times New Roman" w:hAnsi="Times New Roman" w:cs="Times New Roman"/>
          <w:b/>
          <w:sz w:val="23"/>
          <w:szCs w:val="23"/>
        </w:rPr>
        <w:t>Решения и Определения по  Глава ІІ</w:t>
      </w:r>
      <w:r w:rsidRPr="00627668">
        <w:rPr>
          <w:rFonts w:ascii="Times New Roman" w:hAnsi="Times New Roman" w:cs="Times New Roman"/>
          <w:b/>
          <w:sz w:val="23"/>
          <w:szCs w:val="23"/>
          <w:lang w:val="en-US"/>
        </w:rPr>
        <w:t>I</w:t>
      </w:r>
      <w:r w:rsidRPr="00627668">
        <w:rPr>
          <w:rFonts w:ascii="Times New Roman" w:hAnsi="Times New Roman" w:cs="Times New Roman"/>
          <w:b/>
          <w:sz w:val="23"/>
          <w:szCs w:val="23"/>
        </w:rPr>
        <w:t xml:space="preserve">  и по Глава </w:t>
      </w:r>
      <w:r w:rsidRPr="00627668">
        <w:rPr>
          <w:rFonts w:ascii="Times New Roman" w:hAnsi="Times New Roman" w:cs="Times New Roman"/>
          <w:b/>
          <w:sz w:val="23"/>
          <w:szCs w:val="23"/>
          <w:lang w:val="en-US"/>
        </w:rPr>
        <w:t>I</w:t>
      </w:r>
      <w:r w:rsidRPr="00627668">
        <w:rPr>
          <w:rFonts w:ascii="Times New Roman" w:hAnsi="Times New Roman" w:cs="Times New Roman"/>
          <w:b/>
          <w:sz w:val="23"/>
          <w:szCs w:val="23"/>
        </w:rPr>
        <w:t>V от ЗЗК</w:t>
      </w:r>
    </w:p>
    <w:p w:rsidR="00966BE2" w:rsidRPr="00627668" w:rsidRDefault="00966BE2" w:rsidP="00966BE2">
      <w:pPr>
        <w:shd w:val="clear" w:color="auto" w:fill="FFFFFF"/>
        <w:spacing w:after="0" w:line="240" w:lineRule="auto"/>
        <w:ind w:firstLine="709"/>
        <w:jc w:val="both"/>
        <w:rPr>
          <w:rFonts w:ascii="Times New Roman" w:eastAsia="Calibri" w:hAnsi="Times New Roman" w:cs="Times New Roman"/>
          <w:sz w:val="23"/>
          <w:szCs w:val="23"/>
          <w:lang w:eastAsia="bg-BG"/>
        </w:rPr>
      </w:pPr>
      <w:r w:rsidRPr="00627668">
        <w:rPr>
          <w:rFonts w:ascii="Times New Roman" w:eastAsia="Calibri" w:hAnsi="Times New Roman" w:cs="Times New Roman"/>
          <w:sz w:val="23"/>
          <w:szCs w:val="23"/>
          <w:lang w:eastAsia="bg-BG"/>
        </w:rPr>
        <w:t xml:space="preserve">През първото шестмесечие на 2025 г. Комисията </w:t>
      </w:r>
      <w:r w:rsidRPr="00627668">
        <w:rPr>
          <w:rFonts w:ascii="Times New Roman" w:eastAsia="Calibri" w:hAnsi="Times New Roman" w:cs="Times New Roman"/>
          <w:b/>
          <w:sz w:val="23"/>
          <w:szCs w:val="23"/>
          <w:lang w:eastAsia="bg-BG"/>
        </w:rPr>
        <w:t>образува 3 производства</w:t>
      </w:r>
      <w:r w:rsidRPr="00627668">
        <w:rPr>
          <w:rFonts w:ascii="Times New Roman" w:eastAsia="Calibri" w:hAnsi="Times New Roman" w:cs="Times New Roman"/>
          <w:sz w:val="23"/>
          <w:szCs w:val="23"/>
          <w:lang w:eastAsia="bg-BG"/>
        </w:rPr>
        <w:t xml:space="preserve"> , които имат за предмет установяване наличието или липсата на нарушение по Глава трета „Забранени споразумения, решения и съгласувани практики“ от ЗЗК и/или по чл. 101 от Договора за Функциониране на Европейския Съюз (ДФЕС) и </w:t>
      </w:r>
      <w:r w:rsidRPr="00627668">
        <w:rPr>
          <w:rFonts w:ascii="Times New Roman" w:eastAsia="Calibri" w:hAnsi="Times New Roman" w:cs="Times New Roman"/>
          <w:b/>
          <w:sz w:val="23"/>
          <w:szCs w:val="23"/>
          <w:lang w:eastAsia="bg-BG"/>
        </w:rPr>
        <w:t>постанови 3 решения</w:t>
      </w:r>
      <w:r w:rsidRPr="00627668">
        <w:rPr>
          <w:rFonts w:ascii="Times New Roman" w:eastAsia="Calibri" w:hAnsi="Times New Roman" w:cs="Times New Roman"/>
          <w:sz w:val="23"/>
          <w:szCs w:val="23"/>
          <w:lang w:eastAsia="bg-BG"/>
        </w:rPr>
        <w:t xml:space="preserve"> </w:t>
      </w:r>
      <w:r w:rsidRPr="00627668">
        <w:rPr>
          <w:rFonts w:ascii="Times New Roman" w:eastAsia="Calibri" w:hAnsi="Times New Roman" w:cs="Times New Roman"/>
          <w:b/>
          <w:sz w:val="23"/>
          <w:szCs w:val="23"/>
          <w:lang w:eastAsia="bg-BG"/>
        </w:rPr>
        <w:t xml:space="preserve">във връзка с прилагането на чл. 15 от ЗЗК </w:t>
      </w:r>
      <w:r w:rsidRPr="00627668">
        <w:rPr>
          <w:rFonts w:ascii="Times New Roman" w:eastAsia="Calibri" w:hAnsi="Times New Roman" w:cs="Times New Roman"/>
          <w:sz w:val="23"/>
          <w:szCs w:val="23"/>
          <w:lang w:eastAsia="bg-BG"/>
        </w:rPr>
        <w:t>по производство, образувани в периода 2021 г. - 2023 г.</w:t>
      </w:r>
    </w:p>
    <w:p w:rsidR="00506CE2" w:rsidRPr="00627668" w:rsidRDefault="00966BE2" w:rsidP="00966BE2">
      <w:pPr>
        <w:spacing w:after="0" w:line="240" w:lineRule="auto"/>
        <w:ind w:firstLine="709"/>
        <w:jc w:val="both"/>
      </w:pPr>
      <w:r w:rsidRPr="00627668">
        <w:rPr>
          <w:rFonts w:ascii="Times New Roman" w:eastAsia="Times New Roman" w:hAnsi="Times New Roman" w:cs="Times New Roman"/>
          <w:sz w:val="23"/>
          <w:szCs w:val="23"/>
          <w:lang w:eastAsia="bg-BG"/>
        </w:rPr>
        <w:t xml:space="preserve">През първото шестмесечие на 2025 г. в Комисията са </w:t>
      </w:r>
      <w:r w:rsidRPr="00627668">
        <w:rPr>
          <w:rFonts w:ascii="Times New Roman" w:eastAsia="Times New Roman" w:hAnsi="Times New Roman" w:cs="Times New Roman"/>
          <w:b/>
          <w:sz w:val="23"/>
          <w:szCs w:val="23"/>
          <w:lang w:eastAsia="bg-BG"/>
        </w:rPr>
        <w:t>образувани 6 производства</w:t>
      </w:r>
      <w:r w:rsidRPr="00627668">
        <w:rPr>
          <w:rFonts w:ascii="Times New Roman" w:eastAsia="Times New Roman" w:hAnsi="Times New Roman" w:cs="Times New Roman"/>
          <w:sz w:val="23"/>
          <w:szCs w:val="23"/>
          <w:lang w:eastAsia="bg-BG"/>
        </w:rPr>
        <w:t xml:space="preserve">  с предмет установяване наличието или липсата на извършени нарушения по Глава четвърта „Злоупотреба с монополно или господстващо положение“ от ЗЗК.</w:t>
      </w:r>
      <w:r w:rsidRPr="00627668">
        <w:rPr>
          <w:rFonts w:ascii="Times New Roman" w:hAnsi="Times New Roman" w:cs="Times New Roman"/>
          <w:b/>
          <w:sz w:val="23"/>
          <w:szCs w:val="23"/>
        </w:rPr>
        <w:t xml:space="preserve"> и постанови общо 4 решения  във връзка с прилагането на чл. 21 от ЗЗК и/или чл.102 от ДФЕС</w:t>
      </w:r>
      <w:r w:rsidRPr="00627668">
        <w:rPr>
          <w:rFonts w:ascii="Times New Roman" w:hAnsi="Times New Roman" w:cs="Times New Roman"/>
          <w:sz w:val="23"/>
          <w:szCs w:val="23"/>
        </w:rPr>
        <w:t xml:space="preserve"> по производства, образувани в периода от 2021 г. до 2024 г.</w:t>
      </w:r>
      <w:r w:rsidRPr="00627668">
        <w:rPr>
          <w:rFonts w:ascii="Times New Roman" w:eastAsia="Times New Roman" w:hAnsi="Times New Roman" w:cs="Times New Roman"/>
          <w:sz w:val="23"/>
          <w:szCs w:val="23"/>
          <w:lang w:eastAsia="bg-BG"/>
        </w:rPr>
        <w:t xml:space="preserve"> През първото шестмесечие на 2025 г., общият размер на наложените санкции  с 2</w:t>
      </w:r>
      <w:r w:rsidRPr="00627668">
        <w:rPr>
          <w:rFonts w:ascii="Times New Roman" w:eastAsia="Times New Roman" w:hAnsi="Times New Roman" w:cs="Times New Roman"/>
          <w:b/>
          <w:sz w:val="23"/>
          <w:szCs w:val="23"/>
          <w:lang w:eastAsia="bg-BG"/>
        </w:rPr>
        <w:t xml:space="preserve"> решения</w:t>
      </w:r>
      <w:r w:rsidRPr="00627668">
        <w:rPr>
          <w:rFonts w:ascii="Times New Roman" w:eastAsia="Times New Roman" w:hAnsi="Times New Roman" w:cs="Times New Roman"/>
          <w:sz w:val="23"/>
          <w:szCs w:val="23"/>
          <w:lang w:eastAsia="bg-BG"/>
        </w:rPr>
        <w:t xml:space="preserve"> по производства, образувани по глава четвърта от ЗЗК, </w:t>
      </w:r>
      <w:r w:rsidRPr="00627668">
        <w:rPr>
          <w:rFonts w:ascii="Times New Roman" w:eastAsia="Times New Roman" w:hAnsi="Times New Roman" w:cs="Times New Roman"/>
          <w:b/>
          <w:sz w:val="23"/>
          <w:szCs w:val="23"/>
          <w:lang w:eastAsia="bg-BG"/>
        </w:rPr>
        <w:t>Комисията е наложила имуществени санкции</w:t>
      </w:r>
      <w:r w:rsidRPr="00627668">
        <w:rPr>
          <w:rFonts w:ascii="Times New Roman" w:eastAsia="Times New Roman" w:hAnsi="Times New Roman" w:cs="Times New Roman"/>
          <w:sz w:val="23"/>
          <w:szCs w:val="23"/>
          <w:lang w:eastAsia="bg-BG"/>
        </w:rPr>
        <w:t xml:space="preserve"> за извършени нарушения, </w:t>
      </w:r>
      <w:r w:rsidRPr="00627668">
        <w:rPr>
          <w:rFonts w:ascii="Times New Roman" w:eastAsia="Times New Roman" w:hAnsi="Times New Roman" w:cs="Times New Roman"/>
          <w:b/>
          <w:sz w:val="23"/>
          <w:szCs w:val="23"/>
          <w:lang w:eastAsia="bg-BG"/>
        </w:rPr>
        <w:t xml:space="preserve">в общ размер на 30 899 лв. </w:t>
      </w:r>
      <w:r w:rsidR="00506CE2" w:rsidRPr="00627668">
        <w:rPr>
          <w:rFonts w:ascii="Times New Roman" w:eastAsia="Times New Roman" w:hAnsi="Times New Roman" w:cs="Times New Roman"/>
          <w:sz w:val="23"/>
          <w:szCs w:val="23"/>
          <w:lang w:eastAsia="bg-BG"/>
        </w:rPr>
        <w:t xml:space="preserve">През отчетния период са получени общо </w:t>
      </w:r>
      <w:r w:rsidR="00506CE2" w:rsidRPr="00627668">
        <w:rPr>
          <w:rFonts w:ascii="Times New Roman" w:eastAsia="Times New Roman" w:hAnsi="Times New Roman" w:cs="Times New Roman"/>
          <w:b/>
          <w:sz w:val="23"/>
          <w:szCs w:val="23"/>
          <w:lang w:eastAsia="bg-BG"/>
        </w:rPr>
        <w:t>70 сигнала</w:t>
      </w:r>
      <w:r w:rsidR="00506CE2" w:rsidRPr="00627668">
        <w:rPr>
          <w:rFonts w:ascii="Times New Roman" w:eastAsia="Times New Roman" w:hAnsi="Times New Roman" w:cs="Times New Roman"/>
          <w:sz w:val="23"/>
          <w:szCs w:val="23"/>
          <w:lang w:eastAsia="bg-BG"/>
        </w:rPr>
        <w:t xml:space="preserve">, съдържащи твърдения за нарушения на </w:t>
      </w:r>
      <w:proofErr w:type="spellStart"/>
      <w:r w:rsidR="00506CE2" w:rsidRPr="00627668">
        <w:rPr>
          <w:rFonts w:ascii="Times New Roman" w:eastAsia="Times New Roman" w:hAnsi="Times New Roman" w:cs="Times New Roman"/>
          <w:sz w:val="23"/>
          <w:szCs w:val="23"/>
          <w:lang w:eastAsia="bg-BG"/>
        </w:rPr>
        <w:t>антитръстовите</w:t>
      </w:r>
      <w:proofErr w:type="spellEnd"/>
      <w:r w:rsidR="00506CE2" w:rsidRPr="00627668">
        <w:rPr>
          <w:rFonts w:ascii="Times New Roman" w:eastAsia="Times New Roman" w:hAnsi="Times New Roman" w:cs="Times New Roman"/>
          <w:sz w:val="23"/>
          <w:szCs w:val="23"/>
          <w:lang w:eastAsia="bg-BG"/>
        </w:rPr>
        <w:t xml:space="preserve"> правила, с които експертите от отдел „Антитръст“ се запознаха, извършиха допълнителни предварителни проучвания в някои от случаите и изготвиха отговори до подателите на сигналите.</w:t>
      </w:r>
      <w:r w:rsidR="00506CE2" w:rsidRPr="00627668">
        <w:t xml:space="preserve"> </w:t>
      </w:r>
    </w:p>
    <w:p w:rsidR="00966BE2" w:rsidRPr="00627668" w:rsidRDefault="00506CE2" w:rsidP="00966BE2">
      <w:pPr>
        <w:spacing w:after="0" w:line="240" w:lineRule="auto"/>
        <w:ind w:firstLine="709"/>
        <w:jc w:val="both"/>
        <w:rPr>
          <w:rFonts w:ascii="Times New Roman" w:eastAsia="Times New Roman" w:hAnsi="Times New Roman" w:cs="Times New Roman"/>
          <w:sz w:val="23"/>
          <w:szCs w:val="23"/>
          <w:lang w:eastAsia="bg-BG"/>
        </w:rPr>
      </w:pPr>
      <w:r w:rsidRPr="00627668">
        <w:rPr>
          <w:rFonts w:ascii="Times New Roman" w:eastAsia="Times New Roman" w:hAnsi="Times New Roman" w:cs="Times New Roman"/>
          <w:sz w:val="23"/>
          <w:szCs w:val="23"/>
          <w:lang w:eastAsia="bg-BG"/>
        </w:rPr>
        <w:t xml:space="preserve">През първото шестмесечие на 2025 г. чрез платформата за анонимно подаване на сигнали постъпиха допълнително </w:t>
      </w:r>
      <w:r w:rsidRPr="00627668">
        <w:rPr>
          <w:rFonts w:ascii="Times New Roman" w:eastAsia="Times New Roman" w:hAnsi="Times New Roman" w:cs="Times New Roman"/>
          <w:b/>
          <w:sz w:val="23"/>
          <w:szCs w:val="23"/>
          <w:lang w:eastAsia="bg-BG"/>
        </w:rPr>
        <w:t>170 сигнала</w:t>
      </w:r>
      <w:r w:rsidRPr="00627668">
        <w:rPr>
          <w:rFonts w:ascii="Times New Roman" w:eastAsia="Times New Roman" w:hAnsi="Times New Roman" w:cs="Times New Roman"/>
          <w:sz w:val="23"/>
          <w:szCs w:val="23"/>
          <w:lang w:eastAsia="bg-BG"/>
        </w:rPr>
        <w:t>, като голяма част от постъпилата информация по тях не касае твърдения за нарушения на разпоредбите на ЗЗК.</w:t>
      </w:r>
      <w:r w:rsidR="00EC7587" w:rsidRPr="00627668">
        <w:t xml:space="preserve"> </w:t>
      </w:r>
      <w:r w:rsidR="00EC7587" w:rsidRPr="00627668">
        <w:rPr>
          <w:rFonts w:ascii="Times New Roman" w:eastAsia="Times New Roman" w:hAnsi="Times New Roman" w:cs="Times New Roman"/>
          <w:sz w:val="23"/>
          <w:szCs w:val="23"/>
          <w:lang w:eastAsia="bg-BG"/>
        </w:rPr>
        <w:t xml:space="preserve">Наблюдава се съществено около и над два пъти увеличаване на броя на постъпващите сигнали, като след избора на новия състав на Комисията този процес е особено интензивен. </w:t>
      </w:r>
      <w:r w:rsidRPr="00627668">
        <w:rPr>
          <w:rFonts w:ascii="Times New Roman" w:eastAsia="Times New Roman" w:hAnsi="Times New Roman" w:cs="Times New Roman"/>
          <w:sz w:val="23"/>
          <w:szCs w:val="23"/>
          <w:lang w:eastAsia="bg-BG"/>
        </w:rPr>
        <w:t xml:space="preserve"> С оглед разпоредбите на ЗЗК сигналите, под формата на молба, жалба, искане или друг документ, които не отговаря на формалните изисквания на закона, сами по себе си не са основание за образуване на производство пред КЗК. Подобна информация обаче би могла да бъде изключително ценна за работата на Комисията и след предварително проучване на твърденията да доведе до </w:t>
      </w:r>
      <w:proofErr w:type="spellStart"/>
      <w:r w:rsidRPr="00627668">
        <w:rPr>
          <w:rFonts w:ascii="Times New Roman" w:eastAsia="Times New Roman" w:hAnsi="Times New Roman" w:cs="Times New Roman"/>
          <w:sz w:val="23"/>
          <w:szCs w:val="23"/>
          <w:lang w:eastAsia="bg-BG"/>
        </w:rPr>
        <w:t>самосезиране</w:t>
      </w:r>
      <w:proofErr w:type="spellEnd"/>
      <w:r w:rsidRPr="00627668">
        <w:rPr>
          <w:rFonts w:ascii="Times New Roman" w:eastAsia="Times New Roman" w:hAnsi="Times New Roman" w:cs="Times New Roman"/>
          <w:sz w:val="23"/>
          <w:szCs w:val="23"/>
          <w:lang w:eastAsia="bg-BG"/>
        </w:rPr>
        <w:t xml:space="preserve"> по реда на чл.38, ал.1, т.1 ЗЗК.</w:t>
      </w:r>
    </w:p>
    <w:p w:rsidR="009370AE" w:rsidRPr="00627668" w:rsidRDefault="00506CE2" w:rsidP="009370AE">
      <w:pPr>
        <w:spacing w:after="0" w:line="240" w:lineRule="auto"/>
        <w:ind w:firstLine="709"/>
        <w:jc w:val="both"/>
        <w:rPr>
          <w:rFonts w:ascii="Times New Roman" w:eastAsia="Times New Roman" w:hAnsi="Times New Roman" w:cs="Times New Roman"/>
          <w:sz w:val="23"/>
          <w:szCs w:val="23"/>
          <w:lang w:eastAsia="bg-BG"/>
        </w:rPr>
      </w:pPr>
      <w:r w:rsidRPr="00627668">
        <w:rPr>
          <w:rFonts w:ascii="Times New Roman" w:eastAsia="Times New Roman" w:hAnsi="Times New Roman" w:cs="Times New Roman"/>
          <w:sz w:val="23"/>
          <w:szCs w:val="23"/>
          <w:lang w:eastAsia="bg-BG"/>
        </w:rPr>
        <w:t>През 2025</w:t>
      </w:r>
      <w:r w:rsidR="00D910D6" w:rsidRPr="00627668">
        <w:rPr>
          <w:rFonts w:ascii="Times New Roman" w:eastAsia="Times New Roman" w:hAnsi="Times New Roman" w:cs="Times New Roman"/>
          <w:sz w:val="23"/>
          <w:szCs w:val="23"/>
          <w:lang w:eastAsia="bg-BG"/>
        </w:rPr>
        <w:t xml:space="preserve"> г. усилията на експертите о</w:t>
      </w:r>
      <w:r w:rsidR="009370AE" w:rsidRPr="00627668">
        <w:rPr>
          <w:rFonts w:ascii="Times New Roman" w:eastAsia="Times New Roman" w:hAnsi="Times New Roman" w:cs="Times New Roman"/>
          <w:sz w:val="23"/>
          <w:szCs w:val="23"/>
          <w:lang w:eastAsia="bg-BG"/>
        </w:rPr>
        <w:t xml:space="preserve">т отдел „Антитръст“ отново са </w:t>
      </w:r>
      <w:r w:rsidR="00D910D6" w:rsidRPr="00627668">
        <w:rPr>
          <w:rFonts w:ascii="Times New Roman" w:eastAsia="Times New Roman" w:hAnsi="Times New Roman" w:cs="Times New Roman"/>
          <w:sz w:val="23"/>
          <w:szCs w:val="23"/>
          <w:lang w:eastAsia="bg-BG"/>
        </w:rPr>
        <w:t xml:space="preserve">насочени към извършване на постоянен мониторинг върху пазарите от </w:t>
      </w:r>
      <w:r w:rsidR="00D910D6" w:rsidRPr="00627668">
        <w:rPr>
          <w:rFonts w:ascii="Times New Roman" w:eastAsia="Times New Roman" w:hAnsi="Times New Roman" w:cs="Times New Roman"/>
          <w:b/>
          <w:sz w:val="23"/>
          <w:szCs w:val="23"/>
          <w:lang w:eastAsia="bg-BG"/>
        </w:rPr>
        <w:t>фармацевтичната и хранително-вкусовата промишленост и търговия</w:t>
      </w:r>
      <w:r w:rsidR="00D910D6" w:rsidRPr="00627668">
        <w:rPr>
          <w:rFonts w:ascii="Times New Roman" w:eastAsia="Times New Roman" w:hAnsi="Times New Roman" w:cs="Times New Roman"/>
          <w:sz w:val="23"/>
          <w:szCs w:val="23"/>
          <w:lang w:eastAsia="bg-BG"/>
        </w:rPr>
        <w:t xml:space="preserve"> с оглед тяхната социалната и икономическа значимост</w:t>
      </w:r>
      <w:r w:rsidR="009370AE" w:rsidRPr="00627668">
        <w:rPr>
          <w:rFonts w:ascii="Times New Roman" w:eastAsia="Times New Roman" w:hAnsi="Times New Roman" w:cs="Times New Roman"/>
          <w:sz w:val="24"/>
          <w:szCs w:val="24"/>
          <w:lang w:eastAsia="bg-BG"/>
        </w:rPr>
        <w:t xml:space="preserve">, </w:t>
      </w:r>
      <w:r w:rsidR="001813AA" w:rsidRPr="00627668">
        <w:rPr>
          <w:rFonts w:ascii="Times New Roman" w:eastAsia="Times New Roman" w:hAnsi="Times New Roman" w:cs="Times New Roman"/>
          <w:sz w:val="23"/>
          <w:szCs w:val="23"/>
          <w:lang w:eastAsia="bg-BG"/>
        </w:rPr>
        <w:t xml:space="preserve">пазарите </w:t>
      </w:r>
      <w:r w:rsidR="001813AA" w:rsidRPr="00627668">
        <w:rPr>
          <w:rFonts w:ascii="Times New Roman" w:eastAsia="Times New Roman" w:hAnsi="Times New Roman" w:cs="Times New Roman"/>
          <w:b/>
          <w:sz w:val="23"/>
          <w:szCs w:val="23"/>
          <w:lang w:eastAsia="bg-BG"/>
        </w:rPr>
        <w:t>на течни горива в страната</w:t>
      </w:r>
      <w:r w:rsidR="009C4C96" w:rsidRPr="00627668">
        <w:rPr>
          <w:rFonts w:ascii="Times New Roman" w:eastAsia="Times New Roman" w:hAnsi="Times New Roman" w:cs="Times New Roman"/>
          <w:sz w:val="23"/>
          <w:szCs w:val="23"/>
          <w:lang w:eastAsia="bg-BG"/>
        </w:rPr>
        <w:t>. Дейността на Комисията е насочена и</w:t>
      </w:r>
      <w:r w:rsidR="009370AE" w:rsidRPr="00627668">
        <w:rPr>
          <w:rFonts w:ascii="Times New Roman" w:eastAsia="Times New Roman" w:hAnsi="Times New Roman" w:cs="Times New Roman"/>
          <w:sz w:val="23"/>
          <w:szCs w:val="23"/>
          <w:lang w:eastAsia="bg-BG"/>
        </w:rPr>
        <w:t xml:space="preserve"> към установяването и санкционирането на споразумения или практики между конкуренти за манипулиране на процедури за възлагане на обществени поръчки. Вследствие на проведената активна кампания на Комисията в сътрудничество с ОИСР за популяризиране на дейността в областта на борбата с тръжните манипулации, както и вече установеното добро сътрудничество с публичните възложители, при КЗК продължиха да постъпват сигнали, съдържащи данни за възможни манипулации на обществени поръчки. В тази връзка усилията на експертите на Комисията бяха насочени и върху извършването на предварителни проучвания на тези сигнали. В рамките на проекта </w:t>
      </w:r>
      <w:r w:rsidR="009370AE" w:rsidRPr="00627668">
        <w:rPr>
          <w:rFonts w:ascii="Times New Roman" w:eastAsia="Times New Roman" w:hAnsi="Times New Roman" w:cs="Times New Roman"/>
          <w:b/>
          <w:i/>
          <w:sz w:val="23"/>
          <w:szCs w:val="23"/>
          <w:lang w:eastAsia="bg-BG"/>
        </w:rPr>
        <w:t>„Борба с тръжните манипулации при обществени поръчки: подобряване на съответствието и конкуренцията за обществени поръчки“</w:t>
      </w:r>
      <w:r w:rsidR="009370AE" w:rsidRPr="00627668">
        <w:rPr>
          <w:rFonts w:ascii="Times New Roman" w:eastAsia="Times New Roman" w:hAnsi="Times New Roman" w:cs="Times New Roman"/>
          <w:sz w:val="23"/>
          <w:szCs w:val="23"/>
          <w:lang w:eastAsia="bg-BG"/>
        </w:rPr>
        <w:t>,</w:t>
      </w:r>
      <w:r w:rsidR="009370AE" w:rsidRPr="00627668">
        <w:rPr>
          <w:rFonts w:ascii="Times New Roman" w:eastAsia="Times New Roman" w:hAnsi="Times New Roman" w:cs="Times New Roman"/>
          <w:b/>
          <w:sz w:val="23"/>
          <w:szCs w:val="23"/>
          <w:lang w:eastAsia="bg-BG"/>
        </w:rPr>
        <w:t xml:space="preserve"> </w:t>
      </w:r>
      <w:r w:rsidR="009370AE" w:rsidRPr="00627668">
        <w:rPr>
          <w:rFonts w:ascii="Times New Roman" w:eastAsia="Times New Roman" w:hAnsi="Times New Roman" w:cs="Times New Roman"/>
          <w:sz w:val="23"/>
          <w:szCs w:val="23"/>
          <w:lang w:eastAsia="bg-BG"/>
        </w:rPr>
        <w:t xml:space="preserve">който се изпълнява от </w:t>
      </w:r>
      <w:r w:rsidR="00543EEE" w:rsidRPr="00627668">
        <w:rPr>
          <w:rFonts w:ascii="Times New Roman" w:eastAsia="Times New Roman" w:hAnsi="Times New Roman" w:cs="Times New Roman"/>
          <w:sz w:val="23"/>
          <w:szCs w:val="23"/>
          <w:lang w:eastAsia="bg-BG"/>
        </w:rPr>
        <w:t>ОИСР</w:t>
      </w:r>
      <w:r w:rsidR="009370AE" w:rsidRPr="00627668">
        <w:rPr>
          <w:rFonts w:ascii="Times New Roman" w:eastAsia="Times New Roman" w:hAnsi="Times New Roman" w:cs="Times New Roman"/>
          <w:sz w:val="23"/>
          <w:szCs w:val="23"/>
          <w:lang w:eastAsia="bg-BG"/>
        </w:rPr>
        <w:t xml:space="preserve"> и се финансира от Европейския съюз, експерти от Комисията участваха като лектори и </w:t>
      </w:r>
      <w:proofErr w:type="spellStart"/>
      <w:r w:rsidR="009370AE" w:rsidRPr="00627668">
        <w:rPr>
          <w:rFonts w:ascii="Times New Roman" w:eastAsia="Times New Roman" w:hAnsi="Times New Roman" w:cs="Times New Roman"/>
          <w:sz w:val="23"/>
          <w:szCs w:val="23"/>
          <w:lang w:eastAsia="bg-BG"/>
        </w:rPr>
        <w:t>обучители</w:t>
      </w:r>
      <w:proofErr w:type="spellEnd"/>
      <w:r w:rsidR="009370AE" w:rsidRPr="00627668">
        <w:rPr>
          <w:rFonts w:ascii="Times New Roman" w:eastAsia="Times New Roman" w:hAnsi="Times New Roman" w:cs="Times New Roman"/>
          <w:sz w:val="23"/>
          <w:szCs w:val="23"/>
          <w:lang w:eastAsia="bg-BG"/>
        </w:rPr>
        <w:t xml:space="preserve"> на проведените в Гърция, Кипър, Румъния и Хърватия семинари за възложители. </w:t>
      </w:r>
    </w:p>
    <w:p w:rsidR="009370AE" w:rsidRPr="00627668" w:rsidRDefault="009370AE" w:rsidP="009370AE">
      <w:pPr>
        <w:spacing w:after="0" w:line="240" w:lineRule="auto"/>
        <w:ind w:firstLine="709"/>
        <w:jc w:val="both"/>
        <w:rPr>
          <w:rFonts w:ascii="Times New Roman" w:eastAsia="Times New Roman" w:hAnsi="Times New Roman" w:cs="Times New Roman"/>
          <w:sz w:val="23"/>
          <w:szCs w:val="23"/>
          <w:lang w:eastAsia="bg-BG"/>
        </w:rPr>
      </w:pPr>
      <w:r w:rsidRPr="00627668">
        <w:rPr>
          <w:rFonts w:ascii="Times New Roman" w:eastAsia="Times New Roman" w:hAnsi="Times New Roman" w:cs="Times New Roman"/>
          <w:sz w:val="23"/>
          <w:szCs w:val="23"/>
          <w:lang w:eastAsia="bg-BG"/>
        </w:rPr>
        <w:lastRenderedPageBreak/>
        <w:t xml:space="preserve">През първото шестмесечие на 2025 г. експерти от отдел Антитръст изготвиха отговори по 19 въпросника от Европейската мрежа по конкуренция (ЕМК) и Международната мрежа по конкуренция (ММК) и взеха участие в 8 срещи, </w:t>
      </w:r>
      <w:proofErr w:type="spellStart"/>
      <w:r w:rsidRPr="00627668">
        <w:rPr>
          <w:rFonts w:ascii="Times New Roman" w:eastAsia="Times New Roman" w:hAnsi="Times New Roman" w:cs="Times New Roman"/>
          <w:sz w:val="23"/>
          <w:szCs w:val="23"/>
          <w:lang w:eastAsia="bg-BG"/>
        </w:rPr>
        <w:t>уебинари</w:t>
      </w:r>
      <w:proofErr w:type="spellEnd"/>
      <w:r w:rsidRPr="00627668">
        <w:rPr>
          <w:rFonts w:ascii="Times New Roman" w:eastAsia="Times New Roman" w:hAnsi="Times New Roman" w:cs="Times New Roman"/>
          <w:sz w:val="23"/>
          <w:szCs w:val="23"/>
          <w:lang w:eastAsia="bg-BG"/>
        </w:rPr>
        <w:t xml:space="preserve"> и обучения, организирани както от Европейската и Международната мрежи по конкуренция, така и от Организацията за икономическо сътрудничество и развитие (ОИСР), отделни национални ведомства по конкуренция и други организации.</w:t>
      </w:r>
      <w:r w:rsidRPr="00627668">
        <w:rPr>
          <w:rFonts w:ascii="Times New Roman" w:hAnsi="Times New Roman" w:cs="Times New Roman"/>
          <w:sz w:val="23"/>
          <w:szCs w:val="23"/>
        </w:rPr>
        <w:t xml:space="preserve"> </w:t>
      </w:r>
      <w:r w:rsidRPr="00627668">
        <w:rPr>
          <w:rFonts w:ascii="Times New Roman" w:eastAsia="Times New Roman" w:hAnsi="Times New Roman" w:cs="Times New Roman"/>
          <w:sz w:val="23"/>
          <w:szCs w:val="23"/>
          <w:lang w:eastAsia="bg-BG"/>
        </w:rPr>
        <w:t xml:space="preserve">Експерти от отдел „Антитръст“ участваха също в дискусиите и при изготвяне на докладите във връзка с </w:t>
      </w:r>
      <w:r w:rsidRPr="00627668">
        <w:rPr>
          <w:rFonts w:ascii="Times New Roman" w:eastAsia="Times New Roman" w:hAnsi="Times New Roman" w:cs="Times New Roman"/>
          <w:b/>
          <w:i/>
          <w:sz w:val="23"/>
          <w:szCs w:val="23"/>
          <w:lang w:eastAsia="bg-BG"/>
        </w:rPr>
        <w:t>международния проект „Изчислителен антитръст“</w:t>
      </w:r>
      <w:r w:rsidRPr="00627668">
        <w:rPr>
          <w:rFonts w:ascii="Times New Roman" w:eastAsia="Times New Roman" w:hAnsi="Times New Roman" w:cs="Times New Roman"/>
          <w:sz w:val="23"/>
          <w:szCs w:val="23"/>
          <w:lang w:eastAsia="bg-BG"/>
        </w:rPr>
        <w:t xml:space="preserve">, организиран от Център Кодекс към Университета </w:t>
      </w:r>
      <w:proofErr w:type="spellStart"/>
      <w:r w:rsidRPr="00627668">
        <w:rPr>
          <w:rFonts w:ascii="Times New Roman" w:eastAsia="Times New Roman" w:hAnsi="Times New Roman" w:cs="Times New Roman"/>
          <w:sz w:val="23"/>
          <w:szCs w:val="23"/>
          <w:lang w:eastAsia="bg-BG"/>
        </w:rPr>
        <w:t>Станфорд</w:t>
      </w:r>
      <w:proofErr w:type="spellEnd"/>
      <w:r w:rsidRPr="00627668">
        <w:rPr>
          <w:rFonts w:ascii="Times New Roman" w:eastAsia="Times New Roman" w:hAnsi="Times New Roman" w:cs="Times New Roman"/>
          <w:sz w:val="23"/>
          <w:szCs w:val="23"/>
          <w:lang w:eastAsia="bg-BG"/>
        </w:rPr>
        <w:t xml:space="preserve"> и ръководен от проф. </w:t>
      </w:r>
      <w:proofErr w:type="spellStart"/>
      <w:r w:rsidRPr="00627668">
        <w:rPr>
          <w:rFonts w:ascii="Times New Roman" w:eastAsia="Times New Roman" w:hAnsi="Times New Roman" w:cs="Times New Roman"/>
          <w:sz w:val="23"/>
          <w:szCs w:val="23"/>
          <w:lang w:eastAsia="bg-BG"/>
        </w:rPr>
        <w:t>Тибо</w:t>
      </w:r>
      <w:proofErr w:type="spellEnd"/>
      <w:r w:rsidRPr="00627668">
        <w:rPr>
          <w:rFonts w:ascii="Times New Roman" w:eastAsia="Times New Roman" w:hAnsi="Times New Roman" w:cs="Times New Roman"/>
          <w:sz w:val="23"/>
          <w:szCs w:val="23"/>
          <w:lang w:eastAsia="bg-BG"/>
        </w:rPr>
        <w:t xml:space="preserve"> </w:t>
      </w:r>
      <w:proofErr w:type="spellStart"/>
      <w:r w:rsidRPr="00627668">
        <w:rPr>
          <w:rFonts w:ascii="Times New Roman" w:eastAsia="Times New Roman" w:hAnsi="Times New Roman" w:cs="Times New Roman"/>
          <w:sz w:val="23"/>
          <w:szCs w:val="23"/>
          <w:lang w:eastAsia="bg-BG"/>
        </w:rPr>
        <w:t>Шрепел</w:t>
      </w:r>
      <w:proofErr w:type="spellEnd"/>
      <w:r w:rsidRPr="00627668">
        <w:rPr>
          <w:rFonts w:ascii="Times New Roman" w:eastAsia="Times New Roman" w:hAnsi="Times New Roman" w:cs="Times New Roman"/>
          <w:sz w:val="23"/>
          <w:szCs w:val="23"/>
          <w:lang w:eastAsia="bg-BG"/>
        </w:rPr>
        <w:t xml:space="preserve">. Целта на проекта е да създаде мрежа от </w:t>
      </w:r>
      <w:proofErr w:type="spellStart"/>
      <w:r w:rsidRPr="00627668">
        <w:rPr>
          <w:rFonts w:ascii="Times New Roman" w:eastAsia="Times New Roman" w:hAnsi="Times New Roman" w:cs="Times New Roman"/>
          <w:sz w:val="23"/>
          <w:szCs w:val="23"/>
          <w:lang w:eastAsia="bg-BG"/>
        </w:rPr>
        <w:t>антитръстови</w:t>
      </w:r>
      <w:proofErr w:type="spellEnd"/>
      <w:r w:rsidRPr="00627668">
        <w:rPr>
          <w:rFonts w:ascii="Times New Roman" w:eastAsia="Times New Roman" w:hAnsi="Times New Roman" w:cs="Times New Roman"/>
          <w:sz w:val="23"/>
          <w:szCs w:val="23"/>
          <w:lang w:eastAsia="bg-BG"/>
        </w:rPr>
        <w:t xml:space="preserve"> и конкурентни ведомства за обсъждане на изчислителни нововъведения и тяхното приложение. </w:t>
      </w:r>
    </w:p>
    <w:p w:rsidR="00515959" w:rsidRPr="00627668" w:rsidRDefault="00221432" w:rsidP="00203DB0">
      <w:pPr>
        <w:pStyle w:val="ListParagraph"/>
        <w:numPr>
          <w:ilvl w:val="0"/>
          <w:numId w:val="40"/>
        </w:numPr>
        <w:jc w:val="both"/>
        <w:rPr>
          <w:rFonts w:ascii="Times New Roman" w:hAnsi="Times New Roman" w:cs="Times New Roman"/>
          <w:b/>
          <w:sz w:val="23"/>
          <w:szCs w:val="23"/>
        </w:rPr>
      </w:pPr>
      <w:r w:rsidRPr="00627668">
        <w:rPr>
          <w:rFonts w:ascii="Times New Roman" w:hAnsi="Times New Roman" w:cs="Times New Roman"/>
          <w:b/>
          <w:sz w:val="23"/>
          <w:szCs w:val="23"/>
        </w:rPr>
        <w:t>Решения и Определения по  Глава V от ЗЗК</w:t>
      </w:r>
    </w:p>
    <w:p w:rsidR="005D0BCB" w:rsidRPr="00627668" w:rsidRDefault="005D0BCB" w:rsidP="00E574C9">
      <w:pPr>
        <w:spacing w:after="0" w:line="240" w:lineRule="auto"/>
        <w:ind w:firstLine="709"/>
        <w:jc w:val="both"/>
        <w:rPr>
          <w:rFonts w:ascii="Times New Roman" w:eastAsia="Times New Roman" w:hAnsi="Times New Roman" w:cs="Times New Roman"/>
          <w:sz w:val="23"/>
          <w:szCs w:val="23"/>
          <w:lang w:eastAsia="bg-BG"/>
        </w:rPr>
      </w:pPr>
      <w:r w:rsidRPr="00627668">
        <w:rPr>
          <w:rFonts w:ascii="Times New Roman" w:eastAsia="Times New Roman" w:hAnsi="Times New Roman" w:cs="Times New Roman"/>
          <w:sz w:val="23"/>
          <w:szCs w:val="23"/>
          <w:lang w:eastAsia="bg-BG"/>
        </w:rPr>
        <w:t xml:space="preserve">През първото полугодие на 2025 г. </w:t>
      </w:r>
      <w:r w:rsidRPr="00627668">
        <w:rPr>
          <w:rFonts w:ascii="Times New Roman" w:eastAsia="Times New Roman" w:hAnsi="Times New Roman" w:cs="Times New Roman"/>
          <w:b/>
          <w:sz w:val="23"/>
          <w:szCs w:val="23"/>
          <w:lang w:eastAsia="bg-BG"/>
        </w:rPr>
        <w:t>постъпиха</w:t>
      </w:r>
      <w:r w:rsidRPr="00627668">
        <w:rPr>
          <w:rFonts w:ascii="Times New Roman" w:eastAsia="Times New Roman" w:hAnsi="Times New Roman" w:cs="Times New Roman"/>
          <w:sz w:val="23"/>
          <w:szCs w:val="23"/>
          <w:lang w:eastAsia="bg-BG"/>
        </w:rPr>
        <w:t xml:space="preserve"> </w:t>
      </w:r>
      <w:r w:rsidRPr="00627668">
        <w:rPr>
          <w:rFonts w:ascii="Times New Roman" w:eastAsia="Times New Roman" w:hAnsi="Times New Roman" w:cs="Times New Roman"/>
          <w:b/>
          <w:sz w:val="23"/>
          <w:szCs w:val="23"/>
          <w:lang w:eastAsia="bg-BG"/>
        </w:rPr>
        <w:t>общо</w:t>
      </w:r>
      <w:r w:rsidRPr="00627668">
        <w:rPr>
          <w:rFonts w:ascii="Times New Roman" w:eastAsia="Times New Roman" w:hAnsi="Times New Roman" w:cs="Times New Roman"/>
          <w:sz w:val="23"/>
          <w:szCs w:val="23"/>
          <w:lang w:eastAsia="bg-BG"/>
        </w:rPr>
        <w:t xml:space="preserve"> </w:t>
      </w:r>
      <w:r w:rsidRPr="00627668">
        <w:rPr>
          <w:rFonts w:ascii="Times New Roman" w:eastAsia="Times New Roman" w:hAnsi="Times New Roman" w:cs="Times New Roman"/>
          <w:b/>
          <w:sz w:val="23"/>
          <w:szCs w:val="23"/>
          <w:lang w:eastAsia="bg-BG"/>
        </w:rPr>
        <w:t>1</w:t>
      </w:r>
      <w:r w:rsidRPr="00627668">
        <w:rPr>
          <w:rFonts w:ascii="Times New Roman" w:eastAsia="Times New Roman" w:hAnsi="Times New Roman" w:cs="Times New Roman"/>
          <w:b/>
          <w:sz w:val="23"/>
          <w:szCs w:val="23"/>
          <w:lang w:val="en-US" w:eastAsia="bg-BG"/>
        </w:rPr>
        <w:t>1</w:t>
      </w:r>
      <w:r w:rsidRPr="00627668">
        <w:rPr>
          <w:rFonts w:ascii="Times New Roman" w:eastAsia="Times New Roman" w:hAnsi="Times New Roman" w:cs="Times New Roman"/>
          <w:b/>
          <w:sz w:val="23"/>
          <w:szCs w:val="23"/>
          <w:lang w:eastAsia="bg-BG"/>
        </w:rPr>
        <w:t xml:space="preserve"> уведомления</w:t>
      </w:r>
      <w:r w:rsidRPr="00627668">
        <w:rPr>
          <w:rFonts w:ascii="Times New Roman" w:eastAsia="Times New Roman" w:hAnsi="Times New Roman" w:cs="Times New Roman"/>
          <w:sz w:val="23"/>
          <w:szCs w:val="23"/>
          <w:lang w:eastAsia="bg-BG"/>
        </w:rPr>
        <w:t xml:space="preserve"> за разрешаване на концентрации между предприятия. За същия период броят на</w:t>
      </w:r>
      <w:r w:rsidRPr="00627668">
        <w:rPr>
          <w:rFonts w:ascii="Times New Roman" w:eastAsia="Times New Roman" w:hAnsi="Times New Roman" w:cs="Times New Roman"/>
          <w:b/>
          <w:sz w:val="23"/>
          <w:szCs w:val="23"/>
          <w:lang w:eastAsia="bg-BG"/>
        </w:rPr>
        <w:t xml:space="preserve"> образуваните производства</w:t>
      </w:r>
      <w:r w:rsidR="00FA7525" w:rsidRPr="00627668">
        <w:rPr>
          <w:rFonts w:ascii="Times New Roman" w:eastAsia="Times New Roman" w:hAnsi="Times New Roman" w:cs="Times New Roman"/>
          <w:b/>
          <w:sz w:val="23"/>
          <w:szCs w:val="23"/>
          <w:lang w:eastAsia="bg-BG"/>
        </w:rPr>
        <w:t xml:space="preserve"> </w:t>
      </w:r>
      <w:r w:rsidRPr="00627668">
        <w:rPr>
          <w:rFonts w:ascii="Times New Roman" w:eastAsia="Times New Roman" w:hAnsi="Times New Roman" w:cs="Times New Roman"/>
          <w:b/>
          <w:sz w:val="23"/>
          <w:szCs w:val="23"/>
          <w:lang w:eastAsia="bg-BG"/>
        </w:rPr>
        <w:t xml:space="preserve">е общо 13 </w:t>
      </w:r>
      <w:r w:rsidRPr="00627668">
        <w:rPr>
          <w:rFonts w:ascii="Times New Roman" w:eastAsia="Times New Roman" w:hAnsi="Times New Roman" w:cs="Times New Roman"/>
          <w:sz w:val="23"/>
          <w:szCs w:val="23"/>
          <w:lang w:eastAsia="bg-BG"/>
        </w:rPr>
        <w:t>, с две производства повече спрямо същия период на предходната 2024 г. (11 производства).</w:t>
      </w:r>
    </w:p>
    <w:p w:rsidR="005D0BCB" w:rsidRPr="00627668" w:rsidRDefault="005D0BCB" w:rsidP="003360BE">
      <w:pPr>
        <w:pStyle w:val="ListParagraph"/>
        <w:ind w:left="0" w:firstLine="709"/>
        <w:jc w:val="both"/>
        <w:rPr>
          <w:rFonts w:ascii="Times New Roman" w:hAnsi="Times New Roman" w:cs="Times New Roman"/>
          <w:sz w:val="23"/>
          <w:szCs w:val="23"/>
        </w:rPr>
      </w:pPr>
      <w:r w:rsidRPr="00627668">
        <w:rPr>
          <w:rFonts w:ascii="Times New Roman" w:hAnsi="Times New Roman" w:cs="Times New Roman"/>
          <w:sz w:val="23"/>
          <w:szCs w:val="23"/>
        </w:rPr>
        <w:t xml:space="preserve">За отчетния период Комисията </w:t>
      </w:r>
      <w:r w:rsidRPr="00627668">
        <w:rPr>
          <w:rFonts w:ascii="Times New Roman" w:hAnsi="Times New Roman" w:cs="Times New Roman"/>
          <w:b/>
          <w:sz w:val="23"/>
          <w:szCs w:val="23"/>
        </w:rPr>
        <w:t>постанови общо 12  решения</w:t>
      </w:r>
      <w:r w:rsidR="003360BE" w:rsidRPr="00627668">
        <w:rPr>
          <w:rFonts w:ascii="Times New Roman" w:hAnsi="Times New Roman" w:cs="Times New Roman"/>
          <w:sz w:val="23"/>
          <w:szCs w:val="23"/>
        </w:rPr>
        <w:t xml:space="preserve"> от които </w:t>
      </w:r>
      <w:r w:rsidRPr="00627668">
        <w:rPr>
          <w:rFonts w:ascii="Times New Roman" w:hAnsi="Times New Roman" w:cs="Times New Roman"/>
          <w:sz w:val="23"/>
          <w:szCs w:val="23"/>
        </w:rPr>
        <w:t xml:space="preserve">на основание чл.60, ал.1, т.14, във връзка с чл.82, ал.3, т.2 от ЗЗК Комисията разрешава концентрацията между предприятия – общо 11 </w:t>
      </w:r>
      <w:r w:rsidR="003360BE" w:rsidRPr="00627668">
        <w:rPr>
          <w:rFonts w:ascii="Times New Roman" w:hAnsi="Times New Roman" w:cs="Times New Roman"/>
          <w:sz w:val="23"/>
          <w:szCs w:val="23"/>
        </w:rPr>
        <w:t xml:space="preserve">решения; а </w:t>
      </w:r>
      <w:r w:rsidRPr="00627668">
        <w:rPr>
          <w:rFonts w:ascii="Times New Roman" w:hAnsi="Times New Roman" w:cs="Times New Roman"/>
          <w:sz w:val="23"/>
          <w:szCs w:val="23"/>
        </w:rPr>
        <w:t xml:space="preserve">на основание чл.60, ал.1, т.13, във връзка с чл.82, ал.3, т.1, </w:t>
      </w:r>
      <w:proofErr w:type="spellStart"/>
      <w:r w:rsidRPr="00627668">
        <w:rPr>
          <w:rFonts w:ascii="Times New Roman" w:hAnsi="Times New Roman" w:cs="Times New Roman"/>
          <w:sz w:val="23"/>
          <w:szCs w:val="23"/>
        </w:rPr>
        <w:t>предл</w:t>
      </w:r>
      <w:proofErr w:type="spellEnd"/>
      <w:r w:rsidRPr="00627668">
        <w:rPr>
          <w:rFonts w:ascii="Times New Roman" w:hAnsi="Times New Roman" w:cs="Times New Roman"/>
          <w:sz w:val="23"/>
          <w:szCs w:val="23"/>
        </w:rPr>
        <w:t>. второ от ЗЗК Комисията постанови, че сделката не попада в обхвата на задължението за предварително уведомяване по чл. 24, ал. 1 от ЗЗК – общо 1 решение;</w:t>
      </w:r>
    </w:p>
    <w:p w:rsidR="005D0BCB" w:rsidRPr="00627668" w:rsidRDefault="005D0BCB" w:rsidP="00E574C9">
      <w:pPr>
        <w:pStyle w:val="ListParagraph"/>
        <w:ind w:left="0" w:firstLine="709"/>
        <w:jc w:val="both"/>
        <w:rPr>
          <w:rFonts w:ascii="Times New Roman" w:hAnsi="Times New Roman" w:cs="Times New Roman"/>
          <w:sz w:val="23"/>
          <w:szCs w:val="23"/>
        </w:rPr>
      </w:pPr>
      <w:r w:rsidRPr="00627668">
        <w:rPr>
          <w:rFonts w:ascii="Times New Roman" w:hAnsi="Times New Roman" w:cs="Times New Roman"/>
          <w:sz w:val="23"/>
          <w:szCs w:val="23"/>
        </w:rPr>
        <w:t xml:space="preserve">През първото полугодие на 2025 г. КЗК, в резултат на извършената оценка в рамките на </w:t>
      </w:r>
      <w:r w:rsidRPr="00627668">
        <w:rPr>
          <w:rFonts w:ascii="Times New Roman" w:hAnsi="Times New Roman" w:cs="Times New Roman"/>
          <w:i/>
          <w:sz w:val="23"/>
          <w:szCs w:val="23"/>
        </w:rPr>
        <w:t>ускорено проучване</w:t>
      </w:r>
      <w:r w:rsidRPr="00627668">
        <w:rPr>
          <w:rFonts w:ascii="Times New Roman" w:hAnsi="Times New Roman" w:cs="Times New Roman"/>
          <w:sz w:val="23"/>
          <w:szCs w:val="23"/>
        </w:rPr>
        <w:t xml:space="preserve"> по реда на чл.80 и чл. 81 от ЗЗК, постанови общо </w:t>
      </w:r>
      <w:r w:rsidR="00E574C9" w:rsidRPr="00627668">
        <w:rPr>
          <w:rFonts w:ascii="Times New Roman" w:hAnsi="Times New Roman" w:cs="Times New Roman"/>
          <w:sz w:val="23"/>
          <w:szCs w:val="23"/>
        </w:rPr>
        <w:t xml:space="preserve">11 </w:t>
      </w:r>
      <w:r w:rsidRPr="00627668">
        <w:rPr>
          <w:rFonts w:ascii="Times New Roman" w:hAnsi="Times New Roman" w:cs="Times New Roman"/>
          <w:sz w:val="23"/>
          <w:szCs w:val="23"/>
        </w:rPr>
        <w:t xml:space="preserve">решения. След извършването на анализ на конкурентната среда на </w:t>
      </w:r>
      <w:proofErr w:type="spellStart"/>
      <w:r w:rsidRPr="00627668">
        <w:rPr>
          <w:rFonts w:ascii="Times New Roman" w:hAnsi="Times New Roman" w:cs="Times New Roman"/>
          <w:sz w:val="23"/>
          <w:szCs w:val="23"/>
        </w:rPr>
        <w:t>нотифицираните</w:t>
      </w:r>
      <w:proofErr w:type="spellEnd"/>
      <w:r w:rsidRPr="00627668">
        <w:rPr>
          <w:rFonts w:ascii="Times New Roman" w:hAnsi="Times New Roman" w:cs="Times New Roman"/>
          <w:sz w:val="23"/>
          <w:szCs w:val="23"/>
        </w:rPr>
        <w:t xml:space="preserve"> концентрации преди и след тяхното осъществяване, Комисията достига до извода, че същите не водят до съществено възпрепятстване на ефективната конкуренция на съответния пазар, особено в резултат на създаване или засилване на господстващо положение и безусловно ги разреши. </w:t>
      </w:r>
    </w:p>
    <w:p w:rsidR="00E574C9" w:rsidRPr="00627668" w:rsidRDefault="008008FE" w:rsidP="005D0BCB">
      <w:pPr>
        <w:spacing w:after="0" w:line="240" w:lineRule="auto"/>
        <w:ind w:firstLine="709"/>
        <w:jc w:val="both"/>
        <w:rPr>
          <w:rFonts w:ascii="Times New Roman" w:eastAsia="Times New Roman" w:hAnsi="Times New Roman" w:cs="Times New Roman"/>
          <w:sz w:val="24"/>
          <w:szCs w:val="24"/>
          <w:lang w:eastAsia="bg-BG"/>
        </w:rPr>
      </w:pPr>
      <w:r w:rsidRPr="00627668">
        <w:rPr>
          <w:rFonts w:ascii="Times New Roman" w:eastAsia="Times New Roman" w:hAnsi="Times New Roman" w:cs="Times New Roman"/>
          <w:sz w:val="23"/>
          <w:szCs w:val="23"/>
          <w:lang w:eastAsia="bg-BG"/>
        </w:rPr>
        <w:t xml:space="preserve">КЗК е компетентна да осъществява контрол върху концентрациите с национално измерение, а тези които достигат праговете по чл.1 от Регламент № 139/2004 г. на Съвета относно контрола върху концентрациите между предприятия (Регламент за сливанията) попадат под изключителната юрисдикция на ЕК. </w:t>
      </w:r>
      <w:r w:rsidR="00E574C9" w:rsidRPr="00627668">
        <w:rPr>
          <w:rFonts w:ascii="Times New Roman" w:eastAsia="Times New Roman" w:hAnsi="Times New Roman" w:cs="Times New Roman"/>
          <w:sz w:val="24"/>
          <w:szCs w:val="24"/>
          <w:lang w:eastAsia="bg-BG"/>
        </w:rPr>
        <w:t>В същото време Регламентът предоставя възможност за промяна на оригиналната юрисдикция с оглед концентрацията да бъде оценена от най-подходящия орган по конкуренция (ЕК или национален орган по конкуренция).</w:t>
      </w:r>
    </w:p>
    <w:p w:rsidR="00F009A3" w:rsidRPr="00627668" w:rsidRDefault="00E574C9" w:rsidP="00566DF6">
      <w:pPr>
        <w:spacing w:after="0" w:line="240" w:lineRule="auto"/>
        <w:ind w:firstLine="709"/>
        <w:jc w:val="both"/>
        <w:rPr>
          <w:rFonts w:ascii="Times New Roman" w:eastAsia="Times New Roman" w:hAnsi="Times New Roman" w:cs="Times New Roman"/>
          <w:sz w:val="23"/>
          <w:szCs w:val="23"/>
          <w:lang w:eastAsia="bg-BG"/>
        </w:rPr>
      </w:pPr>
      <w:r w:rsidRPr="00627668">
        <w:rPr>
          <w:rFonts w:ascii="Times New Roman" w:eastAsia="Times New Roman" w:hAnsi="Times New Roman" w:cs="Times New Roman"/>
          <w:sz w:val="23"/>
          <w:szCs w:val="23"/>
          <w:lang w:eastAsia="bg-BG"/>
        </w:rPr>
        <w:t xml:space="preserve">В тази връзка и съгласно Регламента за сливанията, националните органи по конкуренция (НОК) на държавите-членки може да инициират препращане на случаи на концентрации от или към ЕК след анализ на качената в Европейската мрежа по конкуренция (ЕМК) информация и документи по съответния случай. За отчетния период КЗК извърши анализ на информацията, съдържаща се в </w:t>
      </w:r>
      <w:r w:rsidRPr="00627668">
        <w:rPr>
          <w:rFonts w:ascii="Times New Roman" w:eastAsia="Times New Roman" w:hAnsi="Times New Roman" w:cs="Times New Roman"/>
          <w:b/>
          <w:sz w:val="23"/>
          <w:szCs w:val="23"/>
          <w:lang w:eastAsia="bg-BG"/>
        </w:rPr>
        <w:t>общо 193</w:t>
      </w:r>
      <w:r w:rsidRPr="00627668">
        <w:rPr>
          <w:rFonts w:ascii="Times New Roman" w:eastAsia="Times New Roman" w:hAnsi="Times New Roman" w:cs="Times New Roman"/>
          <w:sz w:val="23"/>
          <w:szCs w:val="23"/>
          <w:lang w:val="en-US" w:eastAsia="bg-BG"/>
        </w:rPr>
        <w:t xml:space="preserve"> </w:t>
      </w:r>
      <w:r w:rsidRPr="00627668">
        <w:rPr>
          <w:rFonts w:ascii="Times New Roman" w:eastAsia="Times New Roman" w:hAnsi="Times New Roman" w:cs="Times New Roman"/>
          <w:sz w:val="23"/>
          <w:szCs w:val="23"/>
          <w:lang w:eastAsia="bg-BG"/>
        </w:rPr>
        <w:t>постъпили по горепосочения ред уведомления и мотивирани искания за концентрации между предприятия, чийто срок за изразяване на становище е за периода 01.01.25 г. - 30.06.25 г., с оглед преценка за евентуално прилагане на процедурата по препращане от/към ЕК в съответствие с Регламента за сливанията и Насоките. Голяма част от дейността на експертите в отдела бе свързана и с участието в проведени две работни срещи на РГ „Сливания“ и една работна среща на РГ „Храни“ (онлайн участие) към Европейската мрежа по конкуренция (ЕМК). За отчетния период отделът беше ангажиран и с попълването на качени в ЕМК въпросници на национални органи по ко</w:t>
      </w:r>
      <w:r w:rsidR="00481E6C" w:rsidRPr="00627668">
        <w:rPr>
          <w:rFonts w:ascii="Times New Roman" w:eastAsia="Times New Roman" w:hAnsi="Times New Roman" w:cs="Times New Roman"/>
          <w:sz w:val="23"/>
          <w:szCs w:val="23"/>
          <w:lang w:eastAsia="bg-BG"/>
        </w:rPr>
        <w:t xml:space="preserve">нкуренция на държавите-членки. </w:t>
      </w:r>
      <w:r w:rsidR="00566DF6" w:rsidRPr="00627668">
        <w:rPr>
          <w:rFonts w:ascii="Times New Roman" w:eastAsia="Times New Roman" w:hAnsi="Times New Roman" w:cs="Times New Roman"/>
          <w:sz w:val="23"/>
          <w:szCs w:val="23"/>
          <w:lang w:eastAsia="bg-BG"/>
        </w:rPr>
        <w:t xml:space="preserve"> </w:t>
      </w:r>
    </w:p>
    <w:p w:rsidR="00481E6C" w:rsidRPr="00627668" w:rsidRDefault="0017593B" w:rsidP="00566DF6">
      <w:pPr>
        <w:spacing w:after="0" w:line="240" w:lineRule="auto"/>
        <w:ind w:firstLine="709"/>
        <w:jc w:val="both"/>
        <w:rPr>
          <w:rFonts w:ascii="Times New Roman" w:eastAsia="Times New Roman" w:hAnsi="Times New Roman" w:cs="Times New Roman"/>
          <w:sz w:val="23"/>
          <w:szCs w:val="23"/>
          <w:lang w:eastAsia="bg-BG"/>
        </w:rPr>
      </w:pPr>
      <w:r w:rsidRPr="00627668">
        <w:rPr>
          <w:rFonts w:ascii="Times New Roman" w:hAnsi="Times New Roman" w:cs="Times New Roman"/>
        </w:rPr>
        <w:t xml:space="preserve">Настоящият състав на КЗК си постави за приоритет през 2025 г. да предприеме бързи и специфични секторни проучвания в обществено значими сектори на икономиката. За сравнение през цялата 2024 г. не е образувано нито едно производство по провеждане на секторен анализ, а само в рамките на м. 06. 2025 г. са образувани две мащабни по обем и социална значимост производства. </w:t>
      </w:r>
      <w:r w:rsidR="005936AC" w:rsidRPr="00627668">
        <w:rPr>
          <w:rFonts w:ascii="Times New Roman" w:eastAsia="Times New Roman" w:hAnsi="Times New Roman" w:cs="Times New Roman"/>
          <w:sz w:val="23"/>
          <w:szCs w:val="23"/>
          <w:lang w:eastAsia="bg-BG"/>
        </w:rPr>
        <w:t xml:space="preserve">В рамките на </w:t>
      </w:r>
      <w:r w:rsidR="00481E6C" w:rsidRPr="00627668">
        <w:rPr>
          <w:rFonts w:ascii="Times New Roman" w:eastAsia="Times New Roman" w:hAnsi="Times New Roman" w:cs="Times New Roman"/>
          <w:sz w:val="23"/>
          <w:szCs w:val="23"/>
          <w:lang w:eastAsia="bg-BG"/>
        </w:rPr>
        <w:t xml:space="preserve">дейността </w:t>
      </w:r>
      <w:r w:rsidR="00481E6C" w:rsidRPr="00627668">
        <w:rPr>
          <w:rFonts w:ascii="Times New Roman" w:eastAsia="Times New Roman" w:hAnsi="Times New Roman" w:cs="Times New Roman"/>
          <w:b/>
          <w:sz w:val="23"/>
          <w:szCs w:val="23"/>
          <w:lang w:eastAsia="bg-BG"/>
        </w:rPr>
        <w:t>„Секторен анализ“ с решение №</w:t>
      </w:r>
      <w:r w:rsidR="00481E6C" w:rsidRPr="00627668">
        <w:rPr>
          <w:rFonts w:ascii="Times New Roman" w:eastAsia="Times New Roman" w:hAnsi="Times New Roman" w:cs="Times New Roman"/>
          <w:sz w:val="23"/>
          <w:szCs w:val="23"/>
          <w:lang w:eastAsia="bg-BG"/>
        </w:rPr>
        <w:t xml:space="preserve"> </w:t>
      </w:r>
      <w:r w:rsidR="00481E6C" w:rsidRPr="00627668">
        <w:rPr>
          <w:rFonts w:ascii="Times New Roman" w:eastAsia="Times New Roman" w:hAnsi="Times New Roman" w:cs="Times New Roman"/>
          <w:b/>
          <w:bCs/>
          <w:sz w:val="23"/>
          <w:szCs w:val="23"/>
          <w:lang w:eastAsia="bg-BG"/>
        </w:rPr>
        <w:t xml:space="preserve">597-19.06.2025 г. </w:t>
      </w:r>
      <w:r w:rsidR="00481E6C" w:rsidRPr="00627668">
        <w:rPr>
          <w:rFonts w:ascii="Times New Roman" w:eastAsia="Times New Roman" w:hAnsi="Times New Roman" w:cs="Times New Roman"/>
          <w:bCs/>
          <w:sz w:val="23"/>
          <w:szCs w:val="23"/>
          <w:lang w:eastAsia="bg-BG"/>
        </w:rPr>
        <w:t>на</w:t>
      </w:r>
      <w:r w:rsidR="00481E6C" w:rsidRPr="00627668">
        <w:rPr>
          <w:rFonts w:ascii="Times New Roman" w:eastAsia="Times New Roman" w:hAnsi="Times New Roman" w:cs="Times New Roman"/>
          <w:b/>
          <w:bCs/>
          <w:sz w:val="23"/>
          <w:szCs w:val="23"/>
          <w:lang w:eastAsia="bg-BG"/>
        </w:rPr>
        <w:t xml:space="preserve"> </w:t>
      </w:r>
      <w:r w:rsidR="00481E6C" w:rsidRPr="00627668">
        <w:rPr>
          <w:rFonts w:ascii="Times New Roman" w:eastAsia="Times New Roman" w:hAnsi="Times New Roman" w:cs="Times New Roman"/>
          <w:sz w:val="23"/>
          <w:szCs w:val="23"/>
          <w:lang w:eastAsia="bg-BG"/>
        </w:rPr>
        <w:t xml:space="preserve">основание чл. 38, ал. 1, т. 1 във </w:t>
      </w:r>
      <w:proofErr w:type="spellStart"/>
      <w:r w:rsidR="00481E6C" w:rsidRPr="00627668">
        <w:rPr>
          <w:rFonts w:ascii="Times New Roman" w:eastAsia="Times New Roman" w:hAnsi="Times New Roman" w:cs="Times New Roman"/>
          <w:sz w:val="23"/>
          <w:szCs w:val="23"/>
          <w:lang w:eastAsia="bg-BG"/>
        </w:rPr>
        <w:t>вр</w:t>
      </w:r>
      <w:proofErr w:type="spellEnd"/>
      <w:r w:rsidR="00481E6C" w:rsidRPr="00627668">
        <w:rPr>
          <w:rFonts w:ascii="Times New Roman" w:eastAsia="Times New Roman" w:hAnsi="Times New Roman" w:cs="Times New Roman"/>
          <w:sz w:val="23"/>
          <w:szCs w:val="23"/>
          <w:lang w:eastAsia="bg-BG"/>
        </w:rPr>
        <w:t xml:space="preserve">. с чл. 91, ал. 1 и чл. 27 от ЗЗК, Комисията за защита на конкуренцията образува производство за извършване на секторен анализ на конкурентната среда на пазарите на </w:t>
      </w:r>
      <w:proofErr w:type="spellStart"/>
      <w:r w:rsidR="00481E6C" w:rsidRPr="00627668">
        <w:rPr>
          <w:rFonts w:ascii="Times New Roman" w:eastAsia="Times New Roman" w:hAnsi="Times New Roman" w:cs="Times New Roman"/>
          <w:sz w:val="23"/>
          <w:szCs w:val="23"/>
          <w:lang w:eastAsia="bg-BG"/>
        </w:rPr>
        <w:t>бързооборотни</w:t>
      </w:r>
      <w:proofErr w:type="spellEnd"/>
      <w:r w:rsidR="00481E6C" w:rsidRPr="00627668">
        <w:rPr>
          <w:rFonts w:ascii="Times New Roman" w:eastAsia="Times New Roman" w:hAnsi="Times New Roman" w:cs="Times New Roman"/>
          <w:sz w:val="23"/>
          <w:szCs w:val="23"/>
          <w:lang w:eastAsia="bg-BG"/>
        </w:rPr>
        <w:t xml:space="preserve"> хранителни стоки от първа </w:t>
      </w:r>
      <w:proofErr w:type="spellStart"/>
      <w:r w:rsidR="00481E6C" w:rsidRPr="00627668">
        <w:rPr>
          <w:rFonts w:ascii="Times New Roman" w:eastAsia="Times New Roman" w:hAnsi="Times New Roman" w:cs="Times New Roman"/>
          <w:sz w:val="23"/>
          <w:szCs w:val="23"/>
          <w:lang w:eastAsia="bg-BG"/>
        </w:rPr>
        <w:t>необходимост.Образувания</w:t>
      </w:r>
      <w:proofErr w:type="spellEnd"/>
      <w:r w:rsidR="00481E6C" w:rsidRPr="00627668">
        <w:rPr>
          <w:rFonts w:ascii="Times New Roman" w:eastAsia="Times New Roman" w:hAnsi="Times New Roman" w:cs="Times New Roman"/>
          <w:sz w:val="23"/>
          <w:szCs w:val="23"/>
          <w:lang w:eastAsia="bg-BG"/>
        </w:rPr>
        <w:t xml:space="preserve"> секторен анализ обхваща цялата верига на предлагането – от производството и дистрибуцията до търговията на дребно. Специално внимание ще се обърне на продукти от първа необходимост като яйца, мляко и млечни продукти, месо, брашно, хляб, олио и други. </w:t>
      </w:r>
      <w:r w:rsidR="00481E6C" w:rsidRPr="00627668">
        <w:rPr>
          <w:rFonts w:ascii="Times New Roman" w:hAnsi="Times New Roman" w:cs="Times New Roman"/>
          <w:b/>
          <w:sz w:val="23"/>
          <w:szCs w:val="23"/>
        </w:rPr>
        <w:t>С решение № 598/19.06.2025 г.</w:t>
      </w:r>
      <w:r w:rsidR="00481E6C" w:rsidRPr="00627668">
        <w:rPr>
          <w:rFonts w:ascii="Times New Roman" w:hAnsi="Times New Roman" w:cs="Times New Roman"/>
          <w:sz w:val="23"/>
          <w:szCs w:val="23"/>
        </w:rPr>
        <w:t xml:space="preserve"> Комисията, на основание чл. 38, ал. 1 във връзка с чл. 91, ал. 1 и чл. 27 от ЗЗК,  образува производство за извършване на секторен анализ на конкурентната среда на пазарите на търговия на едро и н</w:t>
      </w:r>
      <w:r w:rsidR="002C6B5F" w:rsidRPr="00627668">
        <w:rPr>
          <w:rFonts w:ascii="Times New Roman" w:hAnsi="Times New Roman" w:cs="Times New Roman"/>
          <w:sz w:val="23"/>
          <w:szCs w:val="23"/>
        </w:rPr>
        <w:t xml:space="preserve">а дребно с лекарствени продукти, с оглед на същественото </w:t>
      </w:r>
      <w:r w:rsidR="00481E6C" w:rsidRPr="00627668">
        <w:rPr>
          <w:rFonts w:ascii="Times New Roman" w:hAnsi="Times New Roman" w:cs="Times New Roman"/>
          <w:sz w:val="23"/>
          <w:szCs w:val="23"/>
        </w:rPr>
        <w:t>социално-икономическо значение</w:t>
      </w:r>
      <w:r w:rsidR="002C6B5F" w:rsidRPr="00627668">
        <w:rPr>
          <w:rFonts w:ascii="Times New Roman" w:hAnsi="Times New Roman" w:cs="Times New Roman"/>
          <w:sz w:val="23"/>
          <w:szCs w:val="23"/>
        </w:rPr>
        <w:t xml:space="preserve"> на</w:t>
      </w:r>
      <w:r w:rsidR="00481E6C" w:rsidRPr="00627668">
        <w:rPr>
          <w:rFonts w:ascii="Times New Roman" w:hAnsi="Times New Roman" w:cs="Times New Roman"/>
          <w:sz w:val="23"/>
          <w:szCs w:val="23"/>
        </w:rPr>
        <w:t xml:space="preserve"> сектор</w:t>
      </w:r>
      <w:r w:rsidR="002C6B5F" w:rsidRPr="00627668">
        <w:rPr>
          <w:rFonts w:ascii="Times New Roman" w:hAnsi="Times New Roman" w:cs="Times New Roman"/>
          <w:sz w:val="23"/>
          <w:szCs w:val="23"/>
        </w:rPr>
        <w:t>а</w:t>
      </w:r>
      <w:r w:rsidR="00481E6C" w:rsidRPr="00627668">
        <w:rPr>
          <w:rFonts w:ascii="Times New Roman" w:hAnsi="Times New Roman" w:cs="Times New Roman"/>
          <w:sz w:val="23"/>
          <w:szCs w:val="23"/>
        </w:rPr>
        <w:t xml:space="preserve">. </w:t>
      </w:r>
      <w:r w:rsidR="00481E6C" w:rsidRPr="00627668">
        <w:rPr>
          <w:rFonts w:ascii="Times New Roman" w:eastAsia="Calibri" w:hAnsi="Times New Roman" w:cs="Times New Roman"/>
          <w:sz w:val="23"/>
          <w:szCs w:val="23"/>
        </w:rPr>
        <w:t>В тази връзка Комисията следи поведението на участниците в сектора на всяко едно ниво от веригата на доставка на лекарствени продукти и за евентуалното нарушаване на</w:t>
      </w:r>
      <w:r w:rsidR="00D762D4" w:rsidRPr="00627668">
        <w:rPr>
          <w:rFonts w:ascii="Times New Roman" w:eastAsia="Calibri" w:hAnsi="Times New Roman" w:cs="Times New Roman"/>
          <w:sz w:val="23"/>
          <w:szCs w:val="23"/>
        </w:rPr>
        <w:t xml:space="preserve"> конкурентната среда в лекарствено-</w:t>
      </w:r>
      <w:r w:rsidR="00481E6C" w:rsidRPr="00627668">
        <w:rPr>
          <w:rFonts w:ascii="Times New Roman" w:eastAsia="Calibri" w:hAnsi="Times New Roman" w:cs="Times New Roman"/>
          <w:sz w:val="23"/>
          <w:szCs w:val="23"/>
        </w:rPr>
        <w:t>снабдителния процес.</w:t>
      </w:r>
    </w:p>
    <w:p w:rsidR="00C43043" w:rsidRPr="00627668" w:rsidRDefault="003B381F" w:rsidP="00266102">
      <w:pPr>
        <w:pStyle w:val="ListParagraph"/>
        <w:numPr>
          <w:ilvl w:val="0"/>
          <w:numId w:val="40"/>
        </w:numPr>
        <w:jc w:val="both"/>
        <w:rPr>
          <w:rFonts w:ascii="Times New Roman" w:hAnsi="Times New Roman" w:cs="Times New Roman"/>
          <w:b/>
          <w:sz w:val="23"/>
          <w:szCs w:val="23"/>
        </w:rPr>
      </w:pPr>
      <w:r w:rsidRPr="00627668">
        <w:rPr>
          <w:rFonts w:ascii="Times New Roman" w:hAnsi="Times New Roman" w:cs="Times New Roman"/>
          <w:b/>
          <w:sz w:val="23"/>
          <w:szCs w:val="23"/>
        </w:rPr>
        <w:lastRenderedPageBreak/>
        <w:t xml:space="preserve">Решения и Определения по </w:t>
      </w:r>
      <w:r w:rsidR="00183E78" w:rsidRPr="00627668">
        <w:rPr>
          <w:rFonts w:ascii="Times New Roman" w:hAnsi="Times New Roman" w:cs="Times New Roman"/>
          <w:b/>
          <w:sz w:val="23"/>
          <w:szCs w:val="23"/>
        </w:rPr>
        <w:t xml:space="preserve"> Глава VІІ по</w:t>
      </w:r>
      <w:r w:rsidRPr="00627668">
        <w:rPr>
          <w:rFonts w:ascii="Times New Roman" w:hAnsi="Times New Roman" w:cs="Times New Roman"/>
          <w:b/>
          <w:sz w:val="23"/>
          <w:szCs w:val="23"/>
        </w:rPr>
        <w:t xml:space="preserve"> ЗЗК</w:t>
      </w:r>
    </w:p>
    <w:p w:rsidR="00266102" w:rsidRPr="00627668" w:rsidRDefault="00266102" w:rsidP="00E12A19">
      <w:pPr>
        <w:spacing w:after="0" w:line="240" w:lineRule="auto"/>
        <w:ind w:firstLine="709"/>
        <w:jc w:val="both"/>
        <w:rPr>
          <w:rFonts w:ascii="Times New Roman" w:hAnsi="Times New Roman"/>
          <w:sz w:val="23"/>
          <w:szCs w:val="23"/>
        </w:rPr>
      </w:pPr>
      <w:r w:rsidRPr="00627668">
        <w:rPr>
          <w:rFonts w:ascii="Times New Roman" w:hAnsi="Times New Roman"/>
          <w:sz w:val="23"/>
          <w:szCs w:val="23"/>
        </w:rPr>
        <w:t xml:space="preserve">През посочения период в Комисията са образувани общо </w:t>
      </w:r>
      <w:r w:rsidRPr="00627668">
        <w:rPr>
          <w:rFonts w:ascii="Times New Roman" w:hAnsi="Times New Roman"/>
          <w:sz w:val="23"/>
          <w:szCs w:val="23"/>
          <w:lang w:val="ru-RU"/>
        </w:rPr>
        <w:t>21</w:t>
      </w:r>
      <w:r w:rsidRPr="00627668">
        <w:rPr>
          <w:rFonts w:ascii="Times New Roman" w:hAnsi="Times New Roman"/>
          <w:sz w:val="23"/>
          <w:szCs w:val="23"/>
        </w:rPr>
        <w:t xml:space="preserve"> производства, имащи за цел да установят наличието или липсата на нарушения по Глава VІІ от ЗЗК „Забрана за нелоялна конкуренция“. От тях </w:t>
      </w:r>
      <w:r w:rsidRPr="00627668">
        <w:rPr>
          <w:rFonts w:ascii="Times New Roman" w:hAnsi="Times New Roman"/>
          <w:sz w:val="23"/>
          <w:szCs w:val="23"/>
          <w:lang w:val="ru-RU"/>
        </w:rPr>
        <w:t xml:space="preserve">18 </w:t>
      </w:r>
      <w:r w:rsidRPr="00627668">
        <w:rPr>
          <w:rFonts w:ascii="Times New Roman" w:hAnsi="Times New Roman"/>
          <w:sz w:val="23"/>
          <w:szCs w:val="23"/>
        </w:rPr>
        <w:t>са образувани по искане на лицата, чиито интереси са засегнати или застрашени от нарушение на ЗЗК</w:t>
      </w:r>
      <w:r w:rsidRPr="00627668">
        <w:rPr>
          <w:rFonts w:ascii="Times New Roman" w:hAnsi="Times New Roman"/>
          <w:sz w:val="23"/>
          <w:szCs w:val="23"/>
          <w:lang w:val="ru-RU"/>
        </w:rPr>
        <w:t xml:space="preserve"> </w:t>
      </w:r>
      <w:r w:rsidRPr="00627668">
        <w:rPr>
          <w:rFonts w:ascii="Times New Roman" w:hAnsi="Times New Roman"/>
          <w:sz w:val="23"/>
          <w:szCs w:val="23"/>
        </w:rPr>
        <w:t>и 3 върнати от АССО и ВАС решения на КЗК за ново произнасяне.</w:t>
      </w:r>
    </w:p>
    <w:p w:rsidR="0017593B" w:rsidRPr="00627668" w:rsidRDefault="00266102" w:rsidP="00E12A19">
      <w:pPr>
        <w:spacing w:after="0" w:line="240" w:lineRule="auto"/>
        <w:jc w:val="both"/>
        <w:rPr>
          <w:rFonts w:ascii="Times New Roman" w:eastAsia="Calibri" w:hAnsi="Times New Roman" w:cs="Times New Roman"/>
          <w:sz w:val="23"/>
          <w:szCs w:val="23"/>
        </w:rPr>
      </w:pPr>
      <w:r w:rsidRPr="00627668">
        <w:rPr>
          <w:rFonts w:ascii="Times New Roman" w:hAnsi="Times New Roman"/>
          <w:sz w:val="23"/>
          <w:szCs w:val="23"/>
        </w:rPr>
        <w:t xml:space="preserve">През същия период Комисията постанови общо </w:t>
      </w:r>
      <w:r w:rsidRPr="00627668">
        <w:rPr>
          <w:rFonts w:ascii="Times New Roman" w:hAnsi="Times New Roman"/>
          <w:sz w:val="23"/>
          <w:szCs w:val="23"/>
          <w:lang w:val="ru-RU"/>
        </w:rPr>
        <w:t>9</w:t>
      </w:r>
      <w:r w:rsidRPr="00627668">
        <w:rPr>
          <w:rFonts w:ascii="Times New Roman" w:hAnsi="Times New Roman"/>
          <w:sz w:val="23"/>
          <w:szCs w:val="23"/>
        </w:rPr>
        <w:t xml:space="preserve"> решения във връзка с прилагането на Глава VІІ, VІІ „а“ (отм.) и VІІ „б“ от ЗЗК. С 6 от постановените решения Комисията установява общо 9 извършени нарушения, представляващи нелоялна конкуренция от страна на ответни предприятия и/или физически лица, с 1 установява прилагане на забранени търговски практики, с 1 налага имуществена санкция и с 2 прекратява производството. Със седем решения Комисията е наложила </w:t>
      </w:r>
      <w:r w:rsidRPr="00627668">
        <w:rPr>
          <w:rFonts w:ascii="Times New Roman" w:hAnsi="Times New Roman"/>
          <w:b/>
          <w:sz w:val="23"/>
          <w:szCs w:val="23"/>
        </w:rPr>
        <w:t>имуществени санкции и/или глоби общо в размер на 2 611 991 лв. за извършени нарушения</w:t>
      </w:r>
      <w:r w:rsidRPr="00627668">
        <w:rPr>
          <w:rFonts w:ascii="Times New Roman" w:hAnsi="Times New Roman"/>
          <w:sz w:val="23"/>
          <w:szCs w:val="23"/>
        </w:rPr>
        <w:t xml:space="preserve"> по Глава </w:t>
      </w:r>
      <w:r w:rsidRPr="00627668">
        <w:rPr>
          <w:rFonts w:ascii="Times New Roman" w:hAnsi="Times New Roman"/>
          <w:sz w:val="23"/>
          <w:szCs w:val="23"/>
          <w:lang w:val="en-US"/>
        </w:rPr>
        <w:t>VII</w:t>
      </w:r>
      <w:r w:rsidRPr="00627668">
        <w:rPr>
          <w:rFonts w:ascii="Times New Roman" w:hAnsi="Times New Roman"/>
          <w:sz w:val="23"/>
          <w:szCs w:val="23"/>
        </w:rPr>
        <w:t xml:space="preserve"> и VІІ „б“ от ЗЗК.</w:t>
      </w:r>
      <w:r w:rsidRPr="00627668">
        <w:rPr>
          <w:rFonts w:ascii="Times New Roman" w:eastAsia="Calibri" w:hAnsi="Times New Roman" w:cs="Times New Roman"/>
          <w:sz w:val="23"/>
          <w:szCs w:val="23"/>
        </w:rPr>
        <w:t xml:space="preserve"> Най-честите нарушения в областта на нелоялната конкуренция, установени през първата половина на 2025 г., са свързани с нарушения по чл. 31 от ЗЗК (забрана за въвеждане в заблуждение относно съществени характеристики на стоките или услугите или начина на тяхното предлагане), следвани от нарушения по чл. 36, ал. 1 от ЗЗК (нелоялно привличане на клиенти с прекратяване или нарушаване на договори) и по чл. 37б от ЗЗК (забранени търговски практики).</w:t>
      </w:r>
    </w:p>
    <w:p w:rsidR="0017593B" w:rsidRPr="00627668" w:rsidRDefault="0017593B" w:rsidP="0017593B">
      <w:pPr>
        <w:spacing w:after="0" w:line="240" w:lineRule="auto"/>
        <w:ind w:firstLine="567"/>
        <w:jc w:val="both"/>
        <w:rPr>
          <w:rFonts w:ascii="Times New Roman" w:eastAsia="Calibri" w:hAnsi="Times New Roman" w:cs="Times New Roman"/>
          <w:sz w:val="23"/>
          <w:szCs w:val="23"/>
        </w:rPr>
      </w:pPr>
      <w:r w:rsidRPr="00627668">
        <w:rPr>
          <w:rFonts w:ascii="Times New Roman" w:eastAsia="Calibri" w:hAnsi="Times New Roman" w:cs="Times New Roman"/>
          <w:sz w:val="23"/>
          <w:szCs w:val="23"/>
        </w:rPr>
        <w:t>Анализът на данните спрямо референтния период от 2024 г. показва по-голям брой образувани производства и по-малко на брой постановени решения, тъй като ресурсът е бил насочен към провежданите предварителни проучвания преди образуване на производствата. Настоящият състав на Комисията интензифицира работата по висящите производства по глава 7 ЗЗК, като до края на годината се очаква да се подобрят значително показателите на постановените актове, а амбицията е да се подобрят и показателите по обжалваемостта им.</w:t>
      </w:r>
    </w:p>
    <w:p w:rsidR="00D10FF9" w:rsidRPr="00627668" w:rsidRDefault="00C233D6" w:rsidP="00266102">
      <w:pPr>
        <w:pStyle w:val="ListParagraph"/>
        <w:numPr>
          <w:ilvl w:val="0"/>
          <w:numId w:val="30"/>
        </w:numPr>
        <w:tabs>
          <w:tab w:val="left" w:pos="993"/>
        </w:tabs>
        <w:ind w:left="0" w:firstLine="709"/>
        <w:jc w:val="both"/>
        <w:rPr>
          <w:rFonts w:ascii="Times New Roman" w:hAnsi="Times New Roman" w:cs="Times New Roman"/>
          <w:b/>
          <w:sz w:val="23"/>
          <w:szCs w:val="23"/>
        </w:rPr>
      </w:pPr>
      <w:r w:rsidRPr="00627668">
        <w:rPr>
          <w:rFonts w:ascii="Times New Roman" w:hAnsi="Times New Roman" w:cs="Times New Roman"/>
          <w:b/>
          <w:sz w:val="23"/>
          <w:szCs w:val="23"/>
        </w:rPr>
        <w:t>Разработване и провеждане на политика по защита на конкуренцията по европейски стандарт, изготвяне на нормативни актове, становища, приемане на единни п</w:t>
      </w:r>
      <w:r w:rsidR="006646D4" w:rsidRPr="00627668">
        <w:rPr>
          <w:rFonts w:ascii="Times New Roman" w:hAnsi="Times New Roman" w:cs="Times New Roman"/>
          <w:b/>
          <w:sz w:val="23"/>
          <w:szCs w:val="23"/>
        </w:rPr>
        <w:t>озиции и други</w:t>
      </w:r>
      <w:r w:rsidR="005F1C91" w:rsidRPr="00627668">
        <w:rPr>
          <w:rFonts w:ascii="Times New Roman" w:hAnsi="Times New Roman" w:cs="Times New Roman"/>
          <w:b/>
          <w:sz w:val="23"/>
          <w:szCs w:val="23"/>
        </w:rPr>
        <w:t>.</w:t>
      </w:r>
    </w:p>
    <w:p w:rsidR="00387DCB" w:rsidRPr="00627668" w:rsidRDefault="00477C49" w:rsidP="007C52B6">
      <w:pPr>
        <w:spacing w:after="0" w:line="240" w:lineRule="auto"/>
        <w:ind w:firstLine="709"/>
        <w:jc w:val="both"/>
        <w:rPr>
          <w:rFonts w:ascii="Times New Roman" w:hAnsi="Times New Roman" w:cs="Times New Roman"/>
          <w:sz w:val="23"/>
          <w:szCs w:val="23"/>
          <w:lang w:val="ru-RU"/>
        </w:rPr>
      </w:pPr>
      <w:r w:rsidRPr="00627668">
        <w:rPr>
          <w:rFonts w:ascii="Times New Roman" w:hAnsi="Times New Roman" w:cs="Times New Roman"/>
          <w:sz w:val="23"/>
          <w:szCs w:val="23"/>
        </w:rPr>
        <w:t xml:space="preserve">Във връзка с правомощията на КЗК по застъпничество за конкуренцията съгласно чл. 28 от ЗЗК през първата половина на 2025 г. са </w:t>
      </w:r>
      <w:r w:rsidRPr="00627668">
        <w:rPr>
          <w:rFonts w:ascii="Times New Roman" w:hAnsi="Times New Roman" w:cs="Times New Roman"/>
          <w:b/>
          <w:sz w:val="23"/>
          <w:szCs w:val="23"/>
        </w:rPr>
        <w:t>образувани 3 производства</w:t>
      </w:r>
      <w:r w:rsidRPr="00627668">
        <w:rPr>
          <w:rFonts w:ascii="Times New Roman" w:hAnsi="Times New Roman" w:cs="Times New Roman"/>
          <w:sz w:val="23"/>
          <w:szCs w:val="23"/>
        </w:rPr>
        <w:t xml:space="preserve">. През този период Комисията е </w:t>
      </w:r>
      <w:r w:rsidRPr="00627668">
        <w:rPr>
          <w:rFonts w:ascii="Times New Roman" w:hAnsi="Times New Roman" w:cs="Times New Roman"/>
          <w:b/>
          <w:sz w:val="23"/>
          <w:szCs w:val="23"/>
        </w:rPr>
        <w:t>постановила 4 решения</w:t>
      </w:r>
      <w:r w:rsidRPr="00627668">
        <w:rPr>
          <w:rFonts w:ascii="Times New Roman" w:hAnsi="Times New Roman" w:cs="Times New Roman"/>
          <w:sz w:val="23"/>
          <w:szCs w:val="23"/>
        </w:rPr>
        <w:t>, с които са приети становища по проекти или действащи нормативни или административни актове и установяващи наличието или липсата на противоречие с правилата на конкуренция</w:t>
      </w:r>
      <w:r w:rsidR="00D41F87" w:rsidRPr="00627668">
        <w:rPr>
          <w:rFonts w:ascii="Times New Roman" w:hAnsi="Times New Roman" w:cs="Times New Roman"/>
          <w:sz w:val="23"/>
          <w:szCs w:val="23"/>
        </w:rPr>
        <w:t>.</w:t>
      </w:r>
      <w:r w:rsidR="00D41F87" w:rsidRPr="00627668">
        <w:rPr>
          <w:rFonts w:ascii="Times New Roman" w:eastAsia="Calibri" w:hAnsi="Times New Roman" w:cs="Times New Roman"/>
          <w:sz w:val="24"/>
          <w:szCs w:val="24"/>
        </w:rPr>
        <w:t xml:space="preserve"> </w:t>
      </w:r>
      <w:r w:rsidR="00D41F87" w:rsidRPr="00627668">
        <w:rPr>
          <w:rFonts w:ascii="Times New Roman" w:hAnsi="Times New Roman" w:cs="Times New Roman"/>
          <w:sz w:val="23"/>
          <w:szCs w:val="23"/>
        </w:rPr>
        <w:t>Приетите от КЗК през първите шест месеца на 2025 г. становища бяха свързани с произнасяне по искане на държавен орган по проект на негов годишен доклад, с оценка на Условията за кандидатстване за използването на мобилни мрежи при изграждането на цифровата инфраструктура, с оценка на нормативната уредба, регулираща ваучерите за храна на електронен носител, както и едно становище по искане на Конституционния съд на Република България.</w:t>
      </w:r>
      <w:r w:rsidR="00387DCB" w:rsidRPr="00627668">
        <w:rPr>
          <w:rFonts w:ascii="Times New Roman" w:hAnsi="Times New Roman" w:cs="Times New Roman"/>
          <w:sz w:val="23"/>
          <w:szCs w:val="23"/>
          <w:lang w:val="ru-RU"/>
        </w:rPr>
        <w:t xml:space="preserve"> </w:t>
      </w:r>
    </w:p>
    <w:p w:rsidR="003A2400" w:rsidRPr="00627668" w:rsidRDefault="00387DCB" w:rsidP="007C52B6">
      <w:pPr>
        <w:spacing w:after="0" w:line="240" w:lineRule="auto"/>
        <w:ind w:firstLine="708"/>
        <w:jc w:val="both"/>
        <w:rPr>
          <w:rFonts w:ascii="Times New Roman" w:eastAsia="Times New Roman" w:hAnsi="Times New Roman" w:cs="Times New Roman"/>
          <w:sz w:val="23"/>
          <w:szCs w:val="23"/>
        </w:rPr>
      </w:pPr>
      <w:proofErr w:type="spellStart"/>
      <w:r w:rsidRPr="00627668">
        <w:rPr>
          <w:rFonts w:ascii="Times New Roman" w:hAnsi="Times New Roman" w:cs="Times New Roman"/>
          <w:sz w:val="23"/>
          <w:szCs w:val="23"/>
          <w:lang w:val="ru-RU"/>
        </w:rPr>
        <w:t>През</w:t>
      </w:r>
      <w:proofErr w:type="spellEnd"/>
      <w:r w:rsidRPr="00627668">
        <w:rPr>
          <w:rFonts w:ascii="Times New Roman" w:hAnsi="Times New Roman" w:cs="Times New Roman"/>
          <w:sz w:val="23"/>
          <w:szCs w:val="23"/>
          <w:lang w:val="ru-RU"/>
        </w:rPr>
        <w:t xml:space="preserve"> </w:t>
      </w:r>
      <w:proofErr w:type="spellStart"/>
      <w:r w:rsidRPr="00627668">
        <w:rPr>
          <w:rFonts w:ascii="Times New Roman" w:hAnsi="Times New Roman" w:cs="Times New Roman"/>
          <w:sz w:val="23"/>
          <w:szCs w:val="23"/>
          <w:lang w:val="ru-RU"/>
        </w:rPr>
        <w:t>първото</w:t>
      </w:r>
      <w:proofErr w:type="spellEnd"/>
      <w:r w:rsidRPr="00627668">
        <w:rPr>
          <w:rFonts w:ascii="Times New Roman" w:hAnsi="Times New Roman" w:cs="Times New Roman"/>
          <w:sz w:val="23"/>
          <w:szCs w:val="23"/>
          <w:lang w:val="ru-RU"/>
        </w:rPr>
        <w:t xml:space="preserve"> полугодие на 2025г. </w:t>
      </w:r>
      <w:proofErr w:type="spellStart"/>
      <w:r w:rsidRPr="00627668">
        <w:rPr>
          <w:rFonts w:ascii="Times New Roman" w:hAnsi="Times New Roman" w:cs="Times New Roman"/>
          <w:sz w:val="23"/>
          <w:szCs w:val="23"/>
          <w:lang w:val="ru-RU"/>
        </w:rPr>
        <w:t>Комисията</w:t>
      </w:r>
      <w:proofErr w:type="spellEnd"/>
      <w:r w:rsidRPr="00627668">
        <w:rPr>
          <w:rFonts w:ascii="Times New Roman" w:hAnsi="Times New Roman" w:cs="Times New Roman"/>
          <w:sz w:val="23"/>
          <w:szCs w:val="23"/>
          <w:lang w:val="ru-RU"/>
        </w:rPr>
        <w:t xml:space="preserve"> за защита на </w:t>
      </w:r>
      <w:proofErr w:type="spellStart"/>
      <w:r w:rsidRPr="00627668">
        <w:rPr>
          <w:rFonts w:ascii="Times New Roman" w:hAnsi="Times New Roman" w:cs="Times New Roman"/>
          <w:sz w:val="23"/>
          <w:szCs w:val="23"/>
          <w:lang w:val="ru-RU"/>
        </w:rPr>
        <w:t>конкуренцията</w:t>
      </w:r>
      <w:proofErr w:type="spellEnd"/>
      <w:r w:rsidRPr="00627668">
        <w:rPr>
          <w:rFonts w:ascii="Times New Roman" w:hAnsi="Times New Roman" w:cs="Times New Roman"/>
          <w:sz w:val="23"/>
          <w:szCs w:val="23"/>
          <w:lang w:val="ru-RU"/>
        </w:rPr>
        <w:t xml:space="preserve"> </w:t>
      </w:r>
      <w:proofErr w:type="spellStart"/>
      <w:r w:rsidRPr="00627668">
        <w:rPr>
          <w:rFonts w:ascii="Times New Roman" w:hAnsi="Times New Roman" w:cs="Times New Roman"/>
          <w:sz w:val="23"/>
          <w:szCs w:val="23"/>
          <w:lang w:val="ru-RU"/>
        </w:rPr>
        <w:t>продължи</w:t>
      </w:r>
      <w:proofErr w:type="spellEnd"/>
      <w:r w:rsidRPr="00627668">
        <w:rPr>
          <w:rFonts w:ascii="Times New Roman" w:hAnsi="Times New Roman" w:cs="Times New Roman"/>
          <w:sz w:val="23"/>
          <w:szCs w:val="23"/>
          <w:lang w:val="ru-RU"/>
        </w:rPr>
        <w:t xml:space="preserve"> </w:t>
      </w:r>
      <w:proofErr w:type="spellStart"/>
      <w:r w:rsidRPr="00627668">
        <w:rPr>
          <w:rFonts w:ascii="Times New Roman" w:hAnsi="Times New Roman" w:cs="Times New Roman"/>
          <w:sz w:val="23"/>
          <w:szCs w:val="23"/>
          <w:lang w:val="ru-RU"/>
        </w:rPr>
        <w:t>дейността</w:t>
      </w:r>
      <w:proofErr w:type="spellEnd"/>
      <w:r w:rsidRPr="00627668">
        <w:rPr>
          <w:rFonts w:ascii="Times New Roman" w:hAnsi="Times New Roman" w:cs="Times New Roman"/>
          <w:sz w:val="23"/>
          <w:szCs w:val="23"/>
          <w:lang w:val="ru-RU"/>
        </w:rPr>
        <w:t xml:space="preserve"> си </w:t>
      </w:r>
      <w:proofErr w:type="spellStart"/>
      <w:r w:rsidRPr="00627668">
        <w:rPr>
          <w:rFonts w:ascii="Times New Roman" w:hAnsi="Times New Roman" w:cs="Times New Roman"/>
          <w:sz w:val="23"/>
          <w:szCs w:val="23"/>
          <w:lang w:val="ru-RU"/>
        </w:rPr>
        <w:t>като</w:t>
      </w:r>
      <w:proofErr w:type="spellEnd"/>
      <w:r w:rsidRPr="00627668">
        <w:rPr>
          <w:rFonts w:ascii="Times New Roman" w:hAnsi="Times New Roman" w:cs="Times New Roman"/>
          <w:sz w:val="23"/>
          <w:szCs w:val="23"/>
          <w:lang w:val="ru-RU"/>
        </w:rPr>
        <w:t xml:space="preserve"> </w:t>
      </w:r>
      <w:proofErr w:type="spellStart"/>
      <w:r w:rsidRPr="00627668">
        <w:rPr>
          <w:rFonts w:ascii="Times New Roman" w:hAnsi="Times New Roman" w:cs="Times New Roman"/>
          <w:sz w:val="23"/>
          <w:szCs w:val="23"/>
          <w:lang w:val="ru-RU"/>
        </w:rPr>
        <w:t>водещо</w:t>
      </w:r>
      <w:proofErr w:type="spellEnd"/>
      <w:r w:rsidRPr="00627668">
        <w:rPr>
          <w:rFonts w:ascii="Times New Roman" w:hAnsi="Times New Roman" w:cs="Times New Roman"/>
          <w:sz w:val="23"/>
          <w:szCs w:val="23"/>
          <w:lang w:val="ru-RU"/>
        </w:rPr>
        <w:t xml:space="preserve"> ведомство на </w:t>
      </w:r>
      <w:proofErr w:type="spellStart"/>
      <w:r w:rsidRPr="00627668">
        <w:rPr>
          <w:rFonts w:ascii="Times New Roman" w:hAnsi="Times New Roman" w:cs="Times New Roman"/>
          <w:sz w:val="23"/>
          <w:szCs w:val="23"/>
          <w:lang w:val="ru-RU"/>
        </w:rPr>
        <w:t>Работна</w:t>
      </w:r>
      <w:proofErr w:type="spellEnd"/>
      <w:r w:rsidRPr="00627668">
        <w:rPr>
          <w:rFonts w:ascii="Times New Roman" w:hAnsi="Times New Roman" w:cs="Times New Roman"/>
          <w:sz w:val="23"/>
          <w:szCs w:val="23"/>
          <w:lang w:val="ru-RU"/>
        </w:rPr>
        <w:t xml:space="preserve"> </w:t>
      </w:r>
      <w:proofErr w:type="spellStart"/>
      <w:r w:rsidRPr="00627668">
        <w:rPr>
          <w:rFonts w:ascii="Times New Roman" w:hAnsi="Times New Roman" w:cs="Times New Roman"/>
          <w:sz w:val="23"/>
          <w:szCs w:val="23"/>
          <w:lang w:val="ru-RU"/>
        </w:rPr>
        <w:t>група</w:t>
      </w:r>
      <w:proofErr w:type="spellEnd"/>
      <w:r w:rsidRPr="00627668">
        <w:rPr>
          <w:rFonts w:ascii="Times New Roman" w:hAnsi="Times New Roman" w:cs="Times New Roman"/>
          <w:sz w:val="23"/>
          <w:szCs w:val="23"/>
          <w:lang w:val="ru-RU"/>
        </w:rPr>
        <w:t xml:space="preserve"> </w:t>
      </w:r>
      <w:r w:rsidRPr="00627668">
        <w:rPr>
          <w:rFonts w:ascii="Times New Roman" w:hAnsi="Times New Roman" w:cs="Times New Roman"/>
          <w:sz w:val="23"/>
          <w:szCs w:val="23"/>
          <w:lang w:val="en-US"/>
        </w:rPr>
        <w:t>„</w:t>
      </w:r>
      <w:proofErr w:type="spellStart"/>
      <w:r w:rsidRPr="00627668">
        <w:rPr>
          <w:rFonts w:ascii="Times New Roman" w:hAnsi="Times New Roman" w:cs="Times New Roman"/>
          <w:sz w:val="23"/>
          <w:szCs w:val="23"/>
          <w:lang w:val="en-US"/>
        </w:rPr>
        <w:t>Конкуренция</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към</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Съвета</w:t>
      </w:r>
      <w:proofErr w:type="spellEnd"/>
      <w:r w:rsidRPr="00627668">
        <w:rPr>
          <w:rFonts w:ascii="Times New Roman" w:hAnsi="Times New Roman" w:cs="Times New Roman"/>
          <w:sz w:val="23"/>
          <w:szCs w:val="23"/>
          <w:lang w:val="en-US"/>
        </w:rPr>
        <w:t xml:space="preserve"> </w:t>
      </w:r>
      <w:proofErr w:type="spellStart"/>
      <w:proofErr w:type="gramStart"/>
      <w:r w:rsidRPr="00627668">
        <w:rPr>
          <w:rFonts w:ascii="Times New Roman" w:hAnsi="Times New Roman" w:cs="Times New Roman"/>
          <w:sz w:val="23"/>
          <w:szCs w:val="23"/>
          <w:lang w:val="en-US"/>
        </w:rPr>
        <w:t>по</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Европейски</w:t>
      </w:r>
      <w:proofErr w:type="spellEnd"/>
      <w:proofErr w:type="gram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въпроси</w:t>
      </w:r>
      <w:proofErr w:type="spellEnd"/>
      <w:r w:rsidRPr="00627668">
        <w:rPr>
          <w:rFonts w:ascii="Times New Roman" w:hAnsi="Times New Roman" w:cs="Times New Roman"/>
          <w:sz w:val="23"/>
          <w:szCs w:val="23"/>
          <w:lang w:val="en-US"/>
        </w:rPr>
        <w:t xml:space="preserve"> (СЕВ). КЗК, </w:t>
      </w:r>
      <w:proofErr w:type="spellStart"/>
      <w:r w:rsidRPr="00627668">
        <w:rPr>
          <w:rFonts w:ascii="Times New Roman" w:hAnsi="Times New Roman" w:cs="Times New Roman"/>
          <w:sz w:val="23"/>
          <w:szCs w:val="23"/>
          <w:lang w:val="en-US"/>
        </w:rPr>
        <w:t>като</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водещо</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ведомство</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на</w:t>
      </w:r>
      <w:proofErr w:type="spellEnd"/>
      <w:r w:rsidRPr="00627668">
        <w:rPr>
          <w:rFonts w:ascii="Times New Roman" w:hAnsi="Times New Roman" w:cs="Times New Roman"/>
          <w:sz w:val="23"/>
          <w:szCs w:val="23"/>
          <w:lang w:val="en-US"/>
        </w:rPr>
        <w:t xml:space="preserve"> РГ-5 „</w:t>
      </w:r>
      <w:proofErr w:type="spellStart"/>
      <w:r w:rsidRPr="00627668">
        <w:rPr>
          <w:rFonts w:ascii="Times New Roman" w:hAnsi="Times New Roman" w:cs="Times New Roman"/>
          <w:sz w:val="23"/>
          <w:szCs w:val="23"/>
          <w:lang w:val="en-US"/>
        </w:rPr>
        <w:t>Конкуренция</w:t>
      </w:r>
      <w:proofErr w:type="spellEnd"/>
      <w:proofErr w:type="gramStart"/>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към</w:t>
      </w:r>
      <w:proofErr w:type="spellEnd"/>
      <w:proofErr w:type="gramEnd"/>
      <w:r w:rsidRPr="00627668">
        <w:rPr>
          <w:rFonts w:ascii="Times New Roman" w:hAnsi="Times New Roman" w:cs="Times New Roman"/>
          <w:sz w:val="23"/>
          <w:szCs w:val="23"/>
          <w:lang w:val="en-US"/>
        </w:rPr>
        <w:t xml:space="preserve"> СЕВ </w:t>
      </w:r>
      <w:proofErr w:type="spellStart"/>
      <w:r w:rsidRPr="00627668">
        <w:rPr>
          <w:rFonts w:ascii="Times New Roman" w:hAnsi="Times New Roman" w:cs="Times New Roman"/>
          <w:sz w:val="23"/>
          <w:szCs w:val="23"/>
          <w:lang w:val="en-US"/>
        </w:rPr>
        <w:t>изготвяше</w:t>
      </w:r>
      <w:proofErr w:type="spellEnd"/>
      <w:r w:rsidRPr="00627668">
        <w:rPr>
          <w:rFonts w:ascii="Times New Roman" w:hAnsi="Times New Roman" w:cs="Times New Roman"/>
          <w:sz w:val="23"/>
          <w:szCs w:val="23"/>
          <w:lang w:val="en-US"/>
        </w:rPr>
        <w:t xml:space="preserve"> и </w:t>
      </w:r>
      <w:proofErr w:type="spellStart"/>
      <w:r w:rsidRPr="00627668">
        <w:rPr>
          <w:rFonts w:ascii="Times New Roman" w:hAnsi="Times New Roman" w:cs="Times New Roman"/>
          <w:sz w:val="23"/>
          <w:szCs w:val="23"/>
          <w:lang w:val="en-US"/>
        </w:rPr>
        <w:t>съгласуваше</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позиции</w:t>
      </w:r>
      <w:proofErr w:type="spellEnd"/>
      <w:r w:rsidRPr="00627668">
        <w:rPr>
          <w:rFonts w:ascii="Times New Roman" w:hAnsi="Times New Roman" w:cs="Times New Roman"/>
          <w:sz w:val="23"/>
          <w:szCs w:val="23"/>
          <w:lang w:val="en-US"/>
        </w:rPr>
        <w:t xml:space="preserve"> и </w:t>
      </w:r>
      <w:proofErr w:type="spellStart"/>
      <w:r w:rsidRPr="00627668">
        <w:rPr>
          <w:rFonts w:ascii="Times New Roman" w:hAnsi="Times New Roman" w:cs="Times New Roman"/>
          <w:sz w:val="23"/>
          <w:szCs w:val="23"/>
          <w:lang w:val="en-US"/>
        </w:rPr>
        <w:t>други</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документи</w:t>
      </w:r>
      <w:proofErr w:type="spellEnd"/>
      <w:r w:rsidRPr="00627668">
        <w:rPr>
          <w:rFonts w:ascii="Times New Roman" w:hAnsi="Times New Roman" w:cs="Times New Roman"/>
          <w:sz w:val="23"/>
          <w:szCs w:val="23"/>
          <w:lang w:val="en-US"/>
        </w:rPr>
        <w:t xml:space="preserve"> в </w:t>
      </w:r>
      <w:proofErr w:type="spellStart"/>
      <w:r w:rsidRPr="00627668">
        <w:rPr>
          <w:rFonts w:ascii="Times New Roman" w:hAnsi="Times New Roman" w:cs="Times New Roman"/>
          <w:sz w:val="23"/>
          <w:szCs w:val="23"/>
          <w:lang w:val="en-US"/>
        </w:rPr>
        <w:t>рамките</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на</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координационния</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механизъм</w:t>
      </w:r>
      <w:proofErr w:type="spellEnd"/>
      <w:r w:rsidRPr="00627668">
        <w:rPr>
          <w:rFonts w:ascii="Times New Roman" w:hAnsi="Times New Roman" w:cs="Times New Roman"/>
          <w:sz w:val="23"/>
          <w:szCs w:val="23"/>
          <w:lang w:val="en-US"/>
        </w:rPr>
        <w:t xml:space="preserve"> </w:t>
      </w:r>
      <w:proofErr w:type="spellStart"/>
      <w:r w:rsidRPr="00627668">
        <w:rPr>
          <w:rFonts w:ascii="Times New Roman" w:hAnsi="Times New Roman" w:cs="Times New Roman"/>
          <w:sz w:val="23"/>
          <w:szCs w:val="23"/>
          <w:lang w:val="en-US"/>
        </w:rPr>
        <w:t>на</w:t>
      </w:r>
      <w:proofErr w:type="spellEnd"/>
      <w:r w:rsidRPr="00627668">
        <w:rPr>
          <w:rFonts w:ascii="Times New Roman" w:hAnsi="Times New Roman" w:cs="Times New Roman"/>
          <w:sz w:val="23"/>
          <w:szCs w:val="23"/>
          <w:lang w:val="en-US"/>
        </w:rPr>
        <w:t xml:space="preserve"> СЕВ.</w:t>
      </w:r>
      <w:r w:rsidRPr="00627668">
        <w:rPr>
          <w:rFonts w:ascii="Times New Roman" w:eastAsia="Calibri" w:hAnsi="Times New Roman" w:cs="Times New Roman"/>
          <w:sz w:val="23"/>
          <w:szCs w:val="23"/>
        </w:rPr>
        <w:t xml:space="preserve"> КЗК участва в 5 присъствени и 3 онлайн срещи на хоризонтални работни групи и секторни подгрупи (специализирани по сектори на икономиката) към Европейска мрежа по конкуренция (ЕМК), в които се обменят идеи и опит по въпроси от интерес за членовете на мрежата.</w:t>
      </w:r>
      <w:r w:rsidR="007C52B6" w:rsidRPr="00627668">
        <w:rPr>
          <w:rFonts w:ascii="Times New Roman" w:eastAsia="Times New Roman" w:hAnsi="Times New Roman" w:cs="Times New Roman"/>
          <w:sz w:val="23"/>
          <w:szCs w:val="23"/>
        </w:rPr>
        <w:t xml:space="preserve"> През първото полугодие на 2025 г. Комисията за защита на конкуренцията продължи сътрудничеството си с Комитета по конкуренцията и работните групи към него на Организацията за икономическо сътрудничество и развитие (ОИСР). Основен приоритет в работата на КЗК в тази област e подготовката за изпълнение на приоритетните препоръки на организацията в областта на конкуренцията, за получаване на положително становище от Комитета по конкуренция за присъединяване на България към ОИСР. Освен дейността си в рамките на Комитета по конкуренция на ОИСР, КЗК продължи и работата си в Междуведомствения координационен механизъм по присъединяване на Република България към ОИСР. Междуведомственият координационен механизъм работи въз основа на разпоредбите на Постановление на Министерския съвет № 242 от 11 август 2022. КЗК взе участие в заседанията на МКМ, проведени през първата половина на 2025 година. Експерти от Комисията също така попълваха и верифицираха въпросници, изпратени от държавни ведомства, свързани с присъединителния преглед на Република България от други комитети на ОИСР, освен Комитета по конкуренция на ОИСР. </w:t>
      </w:r>
    </w:p>
    <w:p w:rsidR="006646D4" w:rsidRPr="00627668" w:rsidRDefault="00C233D6" w:rsidP="003A2400">
      <w:pPr>
        <w:pStyle w:val="ListParagraph"/>
        <w:numPr>
          <w:ilvl w:val="0"/>
          <w:numId w:val="30"/>
        </w:numPr>
        <w:ind w:left="1134" w:hanging="425"/>
        <w:jc w:val="both"/>
        <w:rPr>
          <w:rFonts w:ascii="Times New Roman" w:hAnsi="Times New Roman" w:cs="Times New Roman"/>
          <w:b/>
          <w:sz w:val="23"/>
          <w:szCs w:val="23"/>
        </w:rPr>
      </w:pPr>
      <w:r w:rsidRPr="00627668">
        <w:rPr>
          <w:rFonts w:ascii="Times New Roman" w:hAnsi="Times New Roman" w:cs="Times New Roman"/>
          <w:b/>
          <w:sz w:val="23"/>
          <w:szCs w:val="23"/>
        </w:rPr>
        <w:t>Водене на електроне</w:t>
      </w:r>
      <w:r w:rsidR="00BF71B1" w:rsidRPr="00627668">
        <w:rPr>
          <w:rFonts w:ascii="Times New Roman" w:hAnsi="Times New Roman" w:cs="Times New Roman"/>
          <w:b/>
          <w:sz w:val="23"/>
          <w:szCs w:val="23"/>
        </w:rPr>
        <w:t>н регистър за издаваните актове</w:t>
      </w:r>
      <w:r w:rsidR="00AC24B0" w:rsidRPr="00627668">
        <w:rPr>
          <w:rFonts w:ascii="Times New Roman" w:hAnsi="Times New Roman" w:cs="Times New Roman"/>
          <w:b/>
          <w:sz w:val="23"/>
          <w:szCs w:val="23"/>
        </w:rPr>
        <w:t>.</w:t>
      </w:r>
    </w:p>
    <w:p w:rsidR="006A1470" w:rsidRPr="00627668" w:rsidRDefault="00AE5021" w:rsidP="00BC4D32">
      <w:pPr>
        <w:spacing w:after="0" w:line="240" w:lineRule="auto"/>
        <w:ind w:firstLine="709"/>
        <w:jc w:val="both"/>
        <w:rPr>
          <w:rFonts w:ascii="Times New Roman" w:hAnsi="Times New Roman" w:cs="Times New Roman"/>
          <w:sz w:val="23"/>
          <w:szCs w:val="23"/>
        </w:rPr>
      </w:pPr>
      <w:r w:rsidRPr="00627668">
        <w:rPr>
          <w:rFonts w:ascii="Times New Roman" w:hAnsi="Times New Roman" w:cs="Times New Roman"/>
          <w:sz w:val="23"/>
          <w:szCs w:val="23"/>
        </w:rPr>
        <w:t>Публикуването в електронния регистър се извършва в изпълнение на чл. 68 от ЗЗК с цел осигуряване на публичност на актовете на Комисията и публикуваните съобщения за образувани производств</w:t>
      </w:r>
      <w:r w:rsidR="00BC4D32" w:rsidRPr="00627668">
        <w:rPr>
          <w:rFonts w:ascii="Times New Roman" w:hAnsi="Times New Roman" w:cs="Times New Roman"/>
          <w:sz w:val="23"/>
          <w:szCs w:val="23"/>
        </w:rPr>
        <w:t xml:space="preserve">а. </w:t>
      </w:r>
      <w:r w:rsidR="00266102" w:rsidRPr="00627668">
        <w:rPr>
          <w:rFonts w:ascii="Times New Roman" w:hAnsi="Times New Roman" w:cs="Times New Roman"/>
          <w:sz w:val="23"/>
          <w:szCs w:val="23"/>
        </w:rPr>
        <w:t>За периода 01.01.2025</w:t>
      </w:r>
      <w:r w:rsidR="00CB4CE3" w:rsidRPr="00627668">
        <w:rPr>
          <w:rFonts w:ascii="Times New Roman" w:hAnsi="Times New Roman" w:cs="Times New Roman"/>
          <w:sz w:val="23"/>
          <w:szCs w:val="23"/>
        </w:rPr>
        <w:t xml:space="preserve"> г. </w:t>
      </w:r>
      <w:r w:rsidR="00266102" w:rsidRPr="00627668">
        <w:rPr>
          <w:rFonts w:ascii="Times New Roman" w:hAnsi="Times New Roman" w:cs="Times New Roman"/>
          <w:sz w:val="23"/>
          <w:szCs w:val="23"/>
        </w:rPr>
        <w:t>– 30.0</w:t>
      </w:r>
      <w:r w:rsidR="004F6C3C" w:rsidRPr="00627668">
        <w:rPr>
          <w:rFonts w:ascii="Times New Roman" w:hAnsi="Times New Roman" w:cs="Times New Roman"/>
          <w:sz w:val="23"/>
          <w:szCs w:val="23"/>
        </w:rPr>
        <w:t>6</w:t>
      </w:r>
      <w:r w:rsidR="00266102" w:rsidRPr="00627668">
        <w:rPr>
          <w:rFonts w:ascii="Times New Roman" w:hAnsi="Times New Roman" w:cs="Times New Roman"/>
          <w:sz w:val="23"/>
          <w:szCs w:val="23"/>
        </w:rPr>
        <w:t>.2025</w:t>
      </w:r>
      <w:r w:rsidRPr="00627668">
        <w:rPr>
          <w:rFonts w:ascii="Times New Roman" w:hAnsi="Times New Roman" w:cs="Times New Roman"/>
          <w:sz w:val="23"/>
          <w:szCs w:val="23"/>
        </w:rPr>
        <w:t xml:space="preserve"> г. в ре</w:t>
      </w:r>
      <w:r w:rsidR="00CB4CE3" w:rsidRPr="00627668">
        <w:rPr>
          <w:rFonts w:ascii="Times New Roman" w:hAnsi="Times New Roman" w:cs="Times New Roman"/>
          <w:sz w:val="23"/>
          <w:szCs w:val="23"/>
        </w:rPr>
        <w:t xml:space="preserve">гистъра са публикувани общо  </w:t>
      </w:r>
      <w:r w:rsidR="00266102" w:rsidRPr="00627668">
        <w:rPr>
          <w:rFonts w:ascii="Times New Roman" w:hAnsi="Times New Roman" w:cs="Times New Roman"/>
          <w:sz w:val="23"/>
          <w:szCs w:val="23"/>
        </w:rPr>
        <w:t>408 решения и 209</w:t>
      </w:r>
      <w:r w:rsidRPr="00627668">
        <w:rPr>
          <w:rFonts w:ascii="Times New Roman" w:hAnsi="Times New Roman" w:cs="Times New Roman"/>
          <w:sz w:val="23"/>
          <w:szCs w:val="23"/>
        </w:rPr>
        <w:t xml:space="preserve"> определения.</w:t>
      </w:r>
      <w:r w:rsidR="00E1324C" w:rsidRPr="00627668">
        <w:rPr>
          <w:rFonts w:ascii="Times New Roman" w:hAnsi="Times New Roman" w:cs="Times New Roman"/>
          <w:sz w:val="23"/>
          <w:szCs w:val="23"/>
          <w:lang w:val="en-US"/>
        </w:rPr>
        <w:t xml:space="preserve"> </w:t>
      </w:r>
      <w:r w:rsidR="00437BE2" w:rsidRPr="00627668">
        <w:rPr>
          <w:rFonts w:ascii="Times New Roman" w:hAnsi="Times New Roman" w:cs="Times New Roman"/>
          <w:sz w:val="23"/>
          <w:szCs w:val="23"/>
        </w:rPr>
        <w:t>Публикуването в регистъра се извършва при спазване на законовите срокове, определени в чл. 68, ал. 4 от ЗЗК. Регистърът се актуализира своевременно.</w:t>
      </w:r>
    </w:p>
    <w:p w:rsidR="00C92E97" w:rsidRPr="00627668" w:rsidRDefault="00C233D6" w:rsidP="00DC6346">
      <w:pPr>
        <w:pStyle w:val="ListParagraph"/>
        <w:numPr>
          <w:ilvl w:val="0"/>
          <w:numId w:val="30"/>
        </w:numPr>
        <w:tabs>
          <w:tab w:val="left" w:pos="851"/>
          <w:tab w:val="left" w:pos="993"/>
        </w:tabs>
        <w:ind w:left="0" w:firstLine="709"/>
        <w:jc w:val="both"/>
        <w:rPr>
          <w:rFonts w:ascii="Times New Roman" w:hAnsi="Times New Roman" w:cs="Times New Roman"/>
          <w:b/>
          <w:sz w:val="23"/>
          <w:szCs w:val="23"/>
        </w:rPr>
      </w:pPr>
      <w:r w:rsidRPr="00627668">
        <w:rPr>
          <w:rFonts w:ascii="Times New Roman" w:hAnsi="Times New Roman" w:cs="Times New Roman"/>
          <w:b/>
          <w:sz w:val="23"/>
          <w:szCs w:val="23"/>
        </w:rPr>
        <w:lastRenderedPageBreak/>
        <w:t xml:space="preserve">Производства по обжалване, в рамките на които, при наличие на </w:t>
      </w:r>
      <w:proofErr w:type="spellStart"/>
      <w:r w:rsidRPr="00627668">
        <w:rPr>
          <w:rFonts w:ascii="Times New Roman" w:hAnsi="Times New Roman" w:cs="Times New Roman"/>
          <w:b/>
          <w:sz w:val="23"/>
          <w:szCs w:val="23"/>
        </w:rPr>
        <w:t>нормативноустановените</w:t>
      </w:r>
      <w:proofErr w:type="spellEnd"/>
      <w:r w:rsidRPr="00627668">
        <w:rPr>
          <w:rFonts w:ascii="Times New Roman" w:hAnsi="Times New Roman" w:cs="Times New Roman"/>
          <w:b/>
          <w:sz w:val="23"/>
          <w:szCs w:val="23"/>
        </w:rPr>
        <w:t xml:space="preserve"> предпоставки, се осъществява проучване и се постановява акт по законосъобразността на обжалваните решения, действия и бе</w:t>
      </w:r>
      <w:r w:rsidR="006646D4" w:rsidRPr="00627668">
        <w:rPr>
          <w:rFonts w:ascii="Times New Roman" w:hAnsi="Times New Roman" w:cs="Times New Roman"/>
          <w:b/>
          <w:sz w:val="23"/>
          <w:szCs w:val="23"/>
        </w:rPr>
        <w:t>здействия на възложители по Закона</w:t>
      </w:r>
      <w:r w:rsidR="00274201" w:rsidRPr="00627668">
        <w:rPr>
          <w:rFonts w:ascii="Times New Roman" w:hAnsi="Times New Roman" w:cs="Times New Roman"/>
          <w:b/>
          <w:sz w:val="23"/>
          <w:szCs w:val="23"/>
        </w:rPr>
        <w:t xml:space="preserve"> за обществените поръчки</w:t>
      </w:r>
      <w:r w:rsidR="006646D4" w:rsidRPr="00627668">
        <w:rPr>
          <w:rFonts w:ascii="Times New Roman" w:hAnsi="Times New Roman" w:cs="Times New Roman"/>
          <w:b/>
          <w:sz w:val="23"/>
          <w:szCs w:val="23"/>
        </w:rPr>
        <w:t xml:space="preserve"> </w:t>
      </w:r>
      <w:r w:rsidRPr="00627668">
        <w:rPr>
          <w:rFonts w:ascii="Times New Roman" w:hAnsi="Times New Roman" w:cs="Times New Roman"/>
          <w:b/>
          <w:sz w:val="23"/>
          <w:szCs w:val="23"/>
        </w:rPr>
        <w:t xml:space="preserve">и на </w:t>
      </w:r>
      <w:proofErr w:type="spellStart"/>
      <w:r w:rsidRPr="00627668">
        <w:rPr>
          <w:rFonts w:ascii="Times New Roman" w:hAnsi="Times New Roman" w:cs="Times New Roman"/>
          <w:b/>
          <w:sz w:val="23"/>
          <w:szCs w:val="23"/>
        </w:rPr>
        <w:t>концеденти</w:t>
      </w:r>
      <w:proofErr w:type="spellEnd"/>
      <w:r w:rsidRPr="00627668">
        <w:rPr>
          <w:rFonts w:ascii="Times New Roman" w:hAnsi="Times New Roman" w:cs="Times New Roman"/>
          <w:b/>
          <w:sz w:val="23"/>
          <w:szCs w:val="23"/>
        </w:rPr>
        <w:t xml:space="preserve"> по ЗК</w:t>
      </w:r>
      <w:r w:rsidR="00AC24B0" w:rsidRPr="00627668">
        <w:rPr>
          <w:rFonts w:ascii="Times New Roman" w:hAnsi="Times New Roman" w:cs="Times New Roman"/>
          <w:b/>
          <w:sz w:val="23"/>
          <w:szCs w:val="23"/>
        </w:rPr>
        <w:t>.</w:t>
      </w:r>
    </w:p>
    <w:p w:rsidR="006C3C8B" w:rsidRPr="00627668" w:rsidRDefault="000937F7" w:rsidP="00DC6346">
      <w:pPr>
        <w:pStyle w:val="ListParagraph"/>
        <w:numPr>
          <w:ilvl w:val="0"/>
          <w:numId w:val="40"/>
        </w:numPr>
        <w:ind w:left="1134" w:hanging="425"/>
        <w:jc w:val="both"/>
        <w:rPr>
          <w:rFonts w:ascii="Times New Roman" w:eastAsia="Times New Roman" w:hAnsi="Times New Roman" w:cs="Times New Roman"/>
          <w:b/>
          <w:sz w:val="23"/>
          <w:szCs w:val="23"/>
          <w:lang w:eastAsia="bg-BG"/>
        </w:rPr>
      </w:pPr>
      <w:r w:rsidRPr="00627668">
        <w:rPr>
          <w:rFonts w:ascii="Times New Roman" w:eastAsia="Times New Roman" w:hAnsi="Times New Roman" w:cs="Times New Roman"/>
          <w:b/>
          <w:sz w:val="23"/>
          <w:szCs w:val="23"/>
          <w:lang w:eastAsia="bg-BG"/>
        </w:rPr>
        <w:t>Дейн</w:t>
      </w:r>
      <w:r w:rsidR="000A5F03" w:rsidRPr="00627668">
        <w:rPr>
          <w:rFonts w:ascii="Times New Roman" w:eastAsia="Times New Roman" w:hAnsi="Times New Roman" w:cs="Times New Roman"/>
          <w:b/>
          <w:sz w:val="23"/>
          <w:szCs w:val="23"/>
          <w:lang w:eastAsia="bg-BG"/>
        </w:rPr>
        <w:t>ост</w:t>
      </w:r>
      <w:r w:rsidRPr="00627668">
        <w:rPr>
          <w:rFonts w:ascii="Times New Roman" w:eastAsia="Times New Roman" w:hAnsi="Times New Roman" w:cs="Times New Roman"/>
          <w:b/>
          <w:sz w:val="23"/>
          <w:szCs w:val="23"/>
          <w:lang w:eastAsia="bg-BG"/>
        </w:rPr>
        <w:t xml:space="preserve"> по З</w:t>
      </w:r>
      <w:r w:rsidR="003800D2" w:rsidRPr="00627668">
        <w:rPr>
          <w:rFonts w:ascii="Times New Roman" w:eastAsia="Times New Roman" w:hAnsi="Times New Roman" w:cs="Times New Roman"/>
          <w:b/>
          <w:sz w:val="23"/>
          <w:szCs w:val="23"/>
          <w:lang w:eastAsia="bg-BG"/>
        </w:rPr>
        <w:t>акона за обществените по</w:t>
      </w:r>
      <w:r w:rsidR="000A5F03" w:rsidRPr="00627668">
        <w:rPr>
          <w:rFonts w:ascii="Times New Roman" w:eastAsia="Times New Roman" w:hAnsi="Times New Roman" w:cs="Times New Roman"/>
          <w:b/>
          <w:sz w:val="23"/>
          <w:szCs w:val="23"/>
          <w:lang w:eastAsia="bg-BG"/>
        </w:rPr>
        <w:t>ръчки</w:t>
      </w:r>
    </w:p>
    <w:p w:rsidR="00D20F6C" w:rsidRPr="00627668" w:rsidRDefault="00D20F6C" w:rsidP="00D20F6C">
      <w:pPr>
        <w:spacing w:after="0" w:line="240" w:lineRule="auto"/>
        <w:ind w:firstLine="709"/>
        <w:jc w:val="both"/>
        <w:rPr>
          <w:rFonts w:ascii="Times New Roman" w:eastAsia="Times New Roman" w:hAnsi="Times New Roman" w:cs="Times New Roman"/>
          <w:sz w:val="23"/>
          <w:szCs w:val="23"/>
          <w:lang w:eastAsia="bg-BG"/>
        </w:rPr>
      </w:pPr>
      <w:r w:rsidRPr="00627668">
        <w:rPr>
          <w:rFonts w:ascii="Times New Roman" w:eastAsia="Times New Roman" w:hAnsi="Times New Roman" w:cs="Times New Roman"/>
          <w:sz w:val="23"/>
          <w:szCs w:val="23"/>
          <w:lang w:eastAsia="bg-BG"/>
        </w:rPr>
        <w:t>За периода от 01.01.2025 г. до 30.06.2025 г., в КЗК са депозирани 660 жалби по ЗОП. Издадени са 182 разпореждания на председателя на КЗК, с които е отказано образуване на производство. За същия период са образувани 469 преписки.</w:t>
      </w:r>
      <w:r w:rsidR="0034254D" w:rsidRPr="00627668">
        <w:rPr>
          <w:rFonts w:ascii="Times New Roman" w:eastAsia="Times New Roman" w:hAnsi="Times New Roman" w:cs="Times New Roman"/>
          <w:sz w:val="23"/>
          <w:szCs w:val="23"/>
          <w:lang w:eastAsia="bg-BG"/>
        </w:rPr>
        <w:t xml:space="preserve"> </w:t>
      </w:r>
      <w:r w:rsidRPr="00627668">
        <w:rPr>
          <w:rFonts w:ascii="Times New Roman" w:eastAsia="Times New Roman" w:hAnsi="Times New Roman" w:cs="Times New Roman"/>
          <w:sz w:val="23"/>
          <w:szCs w:val="23"/>
          <w:lang w:eastAsia="bg-BG"/>
        </w:rPr>
        <w:t xml:space="preserve">КЗК е постановила общо </w:t>
      </w:r>
      <w:r w:rsidRPr="00627668">
        <w:rPr>
          <w:rFonts w:ascii="Times New Roman" w:eastAsia="Times New Roman" w:hAnsi="Times New Roman" w:cs="Times New Roman"/>
          <w:sz w:val="23"/>
          <w:szCs w:val="23"/>
          <w:lang w:val="en-US" w:eastAsia="bg-BG"/>
        </w:rPr>
        <w:t>578</w:t>
      </w:r>
      <w:r w:rsidRPr="00627668">
        <w:rPr>
          <w:rFonts w:ascii="Times New Roman" w:eastAsia="Times New Roman" w:hAnsi="Times New Roman" w:cs="Times New Roman"/>
          <w:sz w:val="23"/>
          <w:szCs w:val="23"/>
          <w:lang w:eastAsia="bg-BG"/>
        </w:rPr>
        <w:t xml:space="preserve"> акта (</w:t>
      </w:r>
      <w:r w:rsidRPr="00627668">
        <w:rPr>
          <w:rFonts w:ascii="Times New Roman" w:eastAsia="Times New Roman" w:hAnsi="Times New Roman" w:cs="Times New Roman"/>
          <w:sz w:val="23"/>
          <w:szCs w:val="23"/>
          <w:lang w:val="en-US" w:eastAsia="bg-BG"/>
        </w:rPr>
        <w:t>370</w:t>
      </w:r>
      <w:r w:rsidRPr="00627668">
        <w:rPr>
          <w:rFonts w:ascii="Times New Roman" w:eastAsia="Times New Roman" w:hAnsi="Times New Roman" w:cs="Times New Roman"/>
          <w:sz w:val="23"/>
          <w:szCs w:val="23"/>
          <w:lang w:eastAsia="bg-BG"/>
        </w:rPr>
        <w:t xml:space="preserve"> решения и </w:t>
      </w:r>
      <w:r w:rsidRPr="00627668">
        <w:rPr>
          <w:rFonts w:ascii="Times New Roman" w:eastAsia="Times New Roman" w:hAnsi="Times New Roman" w:cs="Times New Roman"/>
          <w:sz w:val="23"/>
          <w:szCs w:val="23"/>
          <w:lang w:val="en-US" w:eastAsia="bg-BG"/>
        </w:rPr>
        <w:t>208</w:t>
      </w:r>
      <w:r w:rsidRPr="00627668">
        <w:rPr>
          <w:rFonts w:ascii="Times New Roman" w:eastAsia="Times New Roman" w:hAnsi="Times New Roman" w:cs="Times New Roman"/>
          <w:sz w:val="23"/>
          <w:szCs w:val="23"/>
          <w:lang w:eastAsia="bg-BG"/>
        </w:rPr>
        <w:t xml:space="preserve"> определения), с които е приключила образувани пред нея производства по ЗОП или се е произнесла по искане за налагане на временна мярка „спиране на процедурата“, искане за допускане на предварително изпълнение или искане за допълнение или изменение, в частта за разноските, както и определения касаещи спиране, съответно възобновяване на спряно производство. </w:t>
      </w:r>
    </w:p>
    <w:p w:rsidR="00DC6346" w:rsidRPr="00627668" w:rsidRDefault="000937F7" w:rsidP="00B95AAC">
      <w:pPr>
        <w:pStyle w:val="ListParagraph"/>
        <w:numPr>
          <w:ilvl w:val="0"/>
          <w:numId w:val="40"/>
        </w:numPr>
        <w:ind w:hanging="11"/>
        <w:jc w:val="both"/>
        <w:rPr>
          <w:rFonts w:ascii="Times New Roman" w:eastAsia="Times New Roman" w:hAnsi="Times New Roman" w:cs="Times New Roman"/>
          <w:sz w:val="23"/>
          <w:szCs w:val="23"/>
          <w:lang w:eastAsia="bg-BG"/>
        </w:rPr>
      </w:pPr>
      <w:r w:rsidRPr="00627668">
        <w:rPr>
          <w:rFonts w:ascii="Times New Roman" w:eastAsia="Times New Roman" w:hAnsi="Times New Roman" w:cs="Times New Roman"/>
          <w:b/>
          <w:sz w:val="23"/>
          <w:szCs w:val="23"/>
          <w:lang w:eastAsia="bg-BG"/>
        </w:rPr>
        <w:t>Дейност по Закона за концесиите</w:t>
      </w:r>
    </w:p>
    <w:p w:rsidR="00D20F6C" w:rsidRPr="00627668" w:rsidRDefault="00D20F6C" w:rsidP="00DC6346">
      <w:pPr>
        <w:spacing w:after="0" w:line="240" w:lineRule="auto"/>
        <w:ind w:firstLine="709"/>
        <w:jc w:val="both"/>
        <w:rPr>
          <w:rFonts w:ascii="Times New Roman" w:eastAsia="Times New Roman" w:hAnsi="Times New Roman" w:cs="Times New Roman"/>
          <w:sz w:val="23"/>
          <w:szCs w:val="23"/>
          <w:lang w:eastAsia="bg-BG"/>
        </w:rPr>
      </w:pPr>
      <w:r w:rsidRPr="00627668">
        <w:rPr>
          <w:rFonts w:ascii="Times New Roman" w:eastAsia="Times New Roman" w:hAnsi="Times New Roman" w:cs="Times New Roman"/>
          <w:sz w:val="23"/>
          <w:szCs w:val="23"/>
          <w:lang w:eastAsia="bg-BG"/>
        </w:rPr>
        <w:t>За периода от 01.01.202</w:t>
      </w:r>
      <w:r w:rsidRPr="00627668">
        <w:rPr>
          <w:rFonts w:ascii="Times New Roman" w:eastAsia="Times New Roman" w:hAnsi="Times New Roman" w:cs="Times New Roman"/>
          <w:sz w:val="23"/>
          <w:szCs w:val="23"/>
          <w:lang w:val="en-US" w:eastAsia="bg-BG"/>
        </w:rPr>
        <w:t>5</w:t>
      </w:r>
      <w:r w:rsidRPr="00627668">
        <w:rPr>
          <w:rFonts w:ascii="Times New Roman" w:eastAsia="Times New Roman" w:hAnsi="Times New Roman" w:cs="Times New Roman"/>
          <w:sz w:val="23"/>
          <w:szCs w:val="23"/>
          <w:lang w:eastAsia="bg-BG"/>
        </w:rPr>
        <w:t xml:space="preserve"> г. до 30.06.202</w:t>
      </w:r>
      <w:r w:rsidRPr="00627668">
        <w:rPr>
          <w:rFonts w:ascii="Times New Roman" w:eastAsia="Times New Roman" w:hAnsi="Times New Roman" w:cs="Times New Roman"/>
          <w:sz w:val="23"/>
          <w:szCs w:val="23"/>
          <w:lang w:val="en-US" w:eastAsia="bg-BG"/>
        </w:rPr>
        <w:t>5</w:t>
      </w:r>
      <w:r w:rsidRPr="00627668">
        <w:rPr>
          <w:rFonts w:ascii="Times New Roman" w:eastAsia="Times New Roman" w:hAnsi="Times New Roman" w:cs="Times New Roman"/>
          <w:sz w:val="23"/>
          <w:szCs w:val="23"/>
          <w:lang w:eastAsia="bg-BG"/>
        </w:rPr>
        <w:t xml:space="preserve"> г., в КЗК  няма депозирани жалби по Закона за концесиите. За посочения период няма издадени разпореждания на председателя на КЗК за отказ от образуване на производство. </w:t>
      </w:r>
    </w:p>
    <w:p w:rsidR="008F1F58" w:rsidRPr="00627668" w:rsidRDefault="00D20F6C" w:rsidP="00DC6346">
      <w:pPr>
        <w:spacing w:after="0" w:line="240" w:lineRule="auto"/>
        <w:ind w:firstLine="709"/>
        <w:jc w:val="both"/>
        <w:rPr>
          <w:rFonts w:ascii="Times New Roman" w:eastAsia="Times New Roman" w:hAnsi="Times New Roman" w:cs="Times New Roman"/>
          <w:b/>
          <w:i/>
          <w:sz w:val="23"/>
          <w:szCs w:val="23"/>
          <w:lang w:eastAsia="bg-BG"/>
        </w:rPr>
      </w:pPr>
      <w:r w:rsidRPr="00627668">
        <w:rPr>
          <w:rFonts w:ascii="Times New Roman" w:eastAsia="Times New Roman" w:hAnsi="Times New Roman" w:cs="Times New Roman"/>
          <w:sz w:val="23"/>
          <w:szCs w:val="23"/>
          <w:lang w:eastAsia="bg-BG"/>
        </w:rPr>
        <w:t xml:space="preserve"> </w:t>
      </w:r>
      <w:r w:rsidR="00E30400" w:rsidRPr="00627668">
        <w:rPr>
          <w:rFonts w:ascii="Times New Roman" w:hAnsi="Times New Roman" w:cs="Times New Roman"/>
          <w:b/>
          <w:i/>
          <w:sz w:val="23"/>
          <w:szCs w:val="23"/>
        </w:rPr>
        <w:t>Бюджетната п</w:t>
      </w:r>
      <w:r w:rsidR="003800D2" w:rsidRPr="00627668">
        <w:rPr>
          <w:rFonts w:ascii="Times New Roman" w:hAnsi="Times New Roman" w:cs="Times New Roman"/>
          <w:b/>
          <w:i/>
          <w:sz w:val="23"/>
          <w:szCs w:val="23"/>
        </w:rPr>
        <w:t>рограма</w:t>
      </w:r>
      <w:r w:rsidR="004635A4" w:rsidRPr="00627668">
        <w:rPr>
          <w:rFonts w:ascii="Times New Roman" w:hAnsi="Times New Roman" w:cs="Times New Roman"/>
          <w:sz w:val="23"/>
          <w:szCs w:val="23"/>
        </w:rPr>
        <w:t xml:space="preserve"> решава въпроси, свързани с дейността на Комисията по изпълнението на Закона за защита на конкуренцията, Закона за обществените поръчки и Закона за концесиите. Поради това изискването за формулиране на показатели за изпълнение и планиране на целеви с</w:t>
      </w:r>
      <w:r w:rsidR="00E30400" w:rsidRPr="00627668">
        <w:rPr>
          <w:rFonts w:ascii="Times New Roman" w:hAnsi="Times New Roman" w:cs="Times New Roman"/>
          <w:sz w:val="23"/>
          <w:szCs w:val="23"/>
        </w:rPr>
        <w:t>тойности по тях не е приложимо.</w:t>
      </w:r>
      <w:r w:rsidR="00A37AE7" w:rsidRPr="00627668">
        <w:rPr>
          <w:rFonts w:ascii="Times New Roman" w:eastAsia="Times New Roman" w:hAnsi="Times New Roman" w:cs="Times New Roman"/>
          <w:b/>
          <w:i/>
          <w:sz w:val="23"/>
          <w:szCs w:val="23"/>
          <w:lang w:eastAsia="bg-BG"/>
        </w:rPr>
        <w:t xml:space="preserve"> </w:t>
      </w:r>
    </w:p>
    <w:p w:rsidR="00B95AAC" w:rsidRPr="00627668" w:rsidRDefault="007879EC" w:rsidP="002A3CF2">
      <w:pPr>
        <w:spacing w:after="0" w:line="240" w:lineRule="auto"/>
        <w:ind w:firstLine="709"/>
        <w:jc w:val="both"/>
        <w:rPr>
          <w:rFonts w:ascii="Times New Roman" w:eastAsia="Times New Roman" w:hAnsi="Times New Roman" w:cs="Times New Roman"/>
          <w:b/>
          <w:i/>
          <w:sz w:val="23"/>
          <w:szCs w:val="23"/>
          <w:lang w:eastAsia="bg-BG"/>
        </w:rPr>
      </w:pPr>
      <w:r w:rsidRPr="00627668">
        <w:rPr>
          <w:rFonts w:ascii="Times New Roman" w:eastAsia="Times New Roman" w:hAnsi="Times New Roman" w:cs="Times New Roman"/>
          <w:b/>
          <w:i/>
          <w:sz w:val="23"/>
          <w:szCs w:val="23"/>
          <w:lang w:eastAsia="bg-BG"/>
        </w:rPr>
        <w:t>Отчет</w:t>
      </w:r>
      <w:r w:rsidR="00897EF1" w:rsidRPr="00627668">
        <w:rPr>
          <w:rFonts w:ascii="Times New Roman" w:eastAsia="Times New Roman" w:hAnsi="Times New Roman" w:cs="Times New Roman"/>
          <w:b/>
          <w:i/>
          <w:sz w:val="23"/>
          <w:szCs w:val="23"/>
          <w:lang w:eastAsia="bg-BG"/>
        </w:rPr>
        <w:t>ът</w:t>
      </w:r>
      <w:r w:rsidR="00BF71B1" w:rsidRPr="00627668">
        <w:rPr>
          <w:rFonts w:ascii="Times New Roman" w:eastAsia="Times New Roman" w:hAnsi="Times New Roman" w:cs="Times New Roman"/>
          <w:b/>
          <w:i/>
          <w:sz w:val="23"/>
          <w:szCs w:val="23"/>
          <w:lang w:eastAsia="bg-BG"/>
        </w:rPr>
        <w:t xml:space="preserve"> на разходите по бюджетна</w:t>
      </w:r>
      <w:r w:rsidR="006B0C63" w:rsidRPr="00627668">
        <w:rPr>
          <w:rFonts w:ascii="Times New Roman" w:eastAsia="Times New Roman" w:hAnsi="Times New Roman" w:cs="Times New Roman"/>
          <w:b/>
          <w:i/>
          <w:sz w:val="23"/>
          <w:szCs w:val="23"/>
          <w:lang w:eastAsia="bg-BG"/>
        </w:rPr>
        <w:t>та</w:t>
      </w:r>
      <w:r w:rsidR="00BF71B1" w:rsidRPr="00627668">
        <w:rPr>
          <w:rFonts w:ascii="Times New Roman" w:eastAsia="Times New Roman" w:hAnsi="Times New Roman" w:cs="Times New Roman"/>
          <w:b/>
          <w:i/>
          <w:sz w:val="23"/>
          <w:szCs w:val="23"/>
          <w:lang w:eastAsia="bg-BG"/>
        </w:rPr>
        <w:t xml:space="preserve"> програма </w:t>
      </w:r>
      <w:r w:rsidR="00BF71B1" w:rsidRPr="00627668">
        <w:rPr>
          <w:rFonts w:ascii="Times New Roman" w:eastAsia="Times New Roman" w:hAnsi="Times New Roman" w:cs="Times New Roman"/>
          <w:bCs/>
          <w:sz w:val="23"/>
          <w:szCs w:val="23"/>
          <w:lang w:eastAsia="bg-BG"/>
        </w:rPr>
        <w:t>4200.01.01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r w:rsidR="003800D2" w:rsidRPr="00627668">
        <w:rPr>
          <w:rFonts w:ascii="Times New Roman" w:eastAsia="Times New Roman" w:hAnsi="Times New Roman" w:cs="Times New Roman"/>
          <w:bCs/>
          <w:sz w:val="23"/>
          <w:szCs w:val="23"/>
          <w:lang w:eastAsia="bg-BG"/>
        </w:rPr>
        <w:t>,</w:t>
      </w:r>
      <w:r w:rsidR="00BF71B1" w:rsidRPr="00627668">
        <w:rPr>
          <w:rFonts w:ascii="Times New Roman" w:eastAsia="Times New Roman" w:hAnsi="Times New Roman" w:cs="Times New Roman"/>
          <w:bCs/>
          <w:sz w:val="23"/>
          <w:szCs w:val="23"/>
          <w:lang w:eastAsia="bg-BG"/>
        </w:rPr>
        <w:t xml:space="preserve"> </w:t>
      </w:r>
      <w:r w:rsidR="003800D2" w:rsidRPr="00627668">
        <w:rPr>
          <w:rFonts w:ascii="Times New Roman" w:eastAsia="Times New Roman" w:hAnsi="Times New Roman" w:cs="Times New Roman"/>
          <w:b/>
          <w:i/>
          <w:sz w:val="23"/>
          <w:szCs w:val="23"/>
          <w:lang w:eastAsia="bg-BG"/>
        </w:rPr>
        <w:t>има следното разпределение</w:t>
      </w:r>
      <w:r w:rsidRPr="00627668">
        <w:rPr>
          <w:rFonts w:ascii="Times New Roman" w:eastAsia="Times New Roman" w:hAnsi="Times New Roman" w:cs="Times New Roman"/>
          <w:b/>
          <w:i/>
          <w:sz w:val="23"/>
          <w:szCs w:val="23"/>
          <w:lang w:eastAsia="bg-BG"/>
        </w:rPr>
        <w:t xml:space="preserve"> по ведомствени и администрирани разходи</w:t>
      </w:r>
      <w:r w:rsidR="00A37AE7" w:rsidRPr="00627668">
        <w:rPr>
          <w:rFonts w:ascii="Times New Roman" w:eastAsia="Times New Roman" w:hAnsi="Times New Roman" w:cs="Times New Roman"/>
          <w:b/>
          <w:i/>
          <w:sz w:val="23"/>
          <w:szCs w:val="23"/>
          <w:lang w:eastAsia="bg-BG"/>
        </w:rPr>
        <w:t xml:space="preserve"> – </w:t>
      </w:r>
      <w:r w:rsidR="00BF71B1" w:rsidRPr="00627668">
        <w:rPr>
          <w:rFonts w:ascii="Times New Roman" w:eastAsia="Times New Roman" w:hAnsi="Times New Roman" w:cs="Times New Roman"/>
          <w:b/>
          <w:i/>
          <w:sz w:val="23"/>
          <w:szCs w:val="23"/>
          <w:lang w:eastAsia="bg-BG"/>
        </w:rPr>
        <w:t xml:space="preserve"> </w:t>
      </w:r>
      <w:r w:rsidR="00A37AE7" w:rsidRPr="00627668">
        <w:rPr>
          <w:rFonts w:ascii="Times New Roman" w:eastAsia="Times New Roman" w:hAnsi="Times New Roman" w:cs="Times New Roman"/>
          <w:b/>
          <w:i/>
          <w:sz w:val="23"/>
          <w:szCs w:val="23"/>
          <w:lang w:eastAsia="bg-BG"/>
        </w:rPr>
        <w:t>Приложение № 7</w:t>
      </w:r>
      <w:r w:rsidR="001A62E7" w:rsidRPr="00627668">
        <w:rPr>
          <w:rFonts w:ascii="Times New Roman" w:eastAsia="Times New Roman" w:hAnsi="Times New Roman" w:cs="Times New Roman"/>
          <w:b/>
          <w:i/>
          <w:sz w:val="23"/>
          <w:szCs w:val="23"/>
          <w:lang w:eastAsia="bg-BG"/>
        </w:rPr>
        <w:t xml:space="preserve">    </w:t>
      </w:r>
    </w:p>
    <w:p w:rsidR="00B95AAC" w:rsidRDefault="00B95AAC" w:rsidP="002A3CF2">
      <w:pPr>
        <w:spacing w:after="0" w:line="240" w:lineRule="auto"/>
        <w:ind w:firstLine="709"/>
        <w:jc w:val="both"/>
        <w:rPr>
          <w:rFonts w:ascii="Times New Roman" w:eastAsia="Times New Roman" w:hAnsi="Times New Roman" w:cs="Times New Roman"/>
          <w:b/>
          <w:i/>
          <w:sz w:val="23"/>
          <w:szCs w:val="23"/>
          <w:lang w:eastAsia="bg-BG"/>
        </w:rPr>
      </w:pPr>
    </w:p>
    <w:tbl>
      <w:tblPr>
        <w:tblW w:w="9826" w:type="dxa"/>
        <w:tblInd w:w="-10" w:type="dxa"/>
        <w:tblCellMar>
          <w:left w:w="70" w:type="dxa"/>
          <w:right w:w="70" w:type="dxa"/>
        </w:tblCellMar>
        <w:tblLook w:val="04A0" w:firstRow="1" w:lastRow="0" w:firstColumn="1" w:lastColumn="0" w:noHBand="0" w:noVBand="1"/>
      </w:tblPr>
      <w:tblGrid>
        <w:gridCol w:w="960"/>
        <w:gridCol w:w="5986"/>
        <w:gridCol w:w="960"/>
        <w:gridCol w:w="960"/>
        <w:gridCol w:w="960"/>
      </w:tblGrid>
      <w:tr w:rsidR="00B95AAC" w:rsidRPr="0017593B" w:rsidTr="00543EEE">
        <w:trPr>
          <w:trHeight w:val="829"/>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B95AAC" w:rsidRPr="0017593B" w:rsidRDefault="00B95AAC" w:rsidP="00B95AAC">
            <w:pPr>
              <w:spacing w:after="0" w:line="240" w:lineRule="auto"/>
              <w:jc w:val="center"/>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w:t>
            </w:r>
          </w:p>
        </w:tc>
        <w:tc>
          <w:tcPr>
            <w:tcW w:w="5986" w:type="dxa"/>
            <w:tcBorders>
              <w:top w:val="single" w:sz="8" w:space="0" w:color="auto"/>
              <w:left w:val="nil"/>
              <w:bottom w:val="nil"/>
              <w:right w:val="single" w:sz="8" w:space="0" w:color="auto"/>
            </w:tcBorders>
            <w:shd w:val="clear" w:color="000000" w:fill="E6E6E6"/>
            <w:vAlign w:val="bottom"/>
            <w:hideMark/>
          </w:tcPr>
          <w:p w:rsidR="00B95AAC" w:rsidRPr="0017593B" w:rsidRDefault="00B95AAC" w:rsidP="00B95AAC">
            <w:pPr>
              <w:spacing w:after="0" w:line="240" w:lineRule="auto"/>
              <w:jc w:val="both"/>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4200.01.01 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95AAC" w:rsidRPr="0017593B" w:rsidRDefault="00B95AAC" w:rsidP="00B95AAC">
            <w:pPr>
              <w:spacing w:after="0" w:line="240" w:lineRule="auto"/>
              <w:jc w:val="center"/>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Закон</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95AAC" w:rsidRPr="0017593B" w:rsidRDefault="00B95AAC" w:rsidP="00B95AAC">
            <w:pPr>
              <w:spacing w:after="0" w:line="240" w:lineRule="auto"/>
              <w:jc w:val="center"/>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Уточнен план</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95AAC" w:rsidRPr="0017593B" w:rsidRDefault="00B95AAC" w:rsidP="00B95AAC">
            <w:pPr>
              <w:spacing w:after="0" w:line="240" w:lineRule="auto"/>
              <w:jc w:val="center"/>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Отчет</w:t>
            </w:r>
          </w:p>
        </w:tc>
      </w:tr>
      <w:tr w:rsidR="00B95AAC" w:rsidRPr="0017593B" w:rsidTr="00543EEE">
        <w:trPr>
          <w:trHeight w:val="52"/>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B95AAC" w:rsidRPr="0017593B" w:rsidRDefault="00B95AAC" w:rsidP="00B95AAC">
            <w:pPr>
              <w:spacing w:after="0" w:line="240" w:lineRule="auto"/>
              <w:rPr>
                <w:rFonts w:ascii="Times New Roman" w:eastAsia="Times New Roman" w:hAnsi="Times New Roman" w:cs="Times New Roman"/>
                <w:b/>
                <w:bCs/>
                <w:sz w:val="16"/>
                <w:szCs w:val="16"/>
                <w:lang w:eastAsia="bg-BG"/>
              </w:rPr>
            </w:pPr>
          </w:p>
        </w:tc>
        <w:tc>
          <w:tcPr>
            <w:tcW w:w="5986"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center"/>
              <w:rPr>
                <w:rFonts w:ascii="Times New Roman" w:eastAsia="Times New Roman" w:hAnsi="Times New Roman" w:cs="Times New Roman"/>
                <w:b/>
                <w:bCs/>
                <w:sz w:val="16"/>
                <w:szCs w:val="16"/>
                <w:lang w:eastAsia="bg-BG"/>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95AAC" w:rsidRPr="0017593B" w:rsidRDefault="00B95AAC" w:rsidP="00B95AAC">
            <w:pPr>
              <w:spacing w:after="0" w:line="240" w:lineRule="auto"/>
              <w:rPr>
                <w:rFonts w:ascii="Times New Roman" w:eastAsia="Times New Roman" w:hAnsi="Times New Roman" w:cs="Times New Roman"/>
                <w:b/>
                <w:bCs/>
                <w:sz w:val="16"/>
                <w:szCs w:val="16"/>
                <w:lang w:eastAsia="bg-BG"/>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95AAC" w:rsidRPr="0017593B" w:rsidRDefault="00B95AAC" w:rsidP="00B95AAC">
            <w:pPr>
              <w:spacing w:after="0" w:line="240" w:lineRule="auto"/>
              <w:rPr>
                <w:rFonts w:ascii="Times New Roman" w:eastAsia="Times New Roman" w:hAnsi="Times New Roman" w:cs="Times New Roman"/>
                <w:b/>
                <w:bCs/>
                <w:sz w:val="16"/>
                <w:szCs w:val="16"/>
                <w:lang w:eastAsia="bg-BG"/>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95AAC" w:rsidRPr="0017593B" w:rsidRDefault="00B95AAC" w:rsidP="00B95AAC">
            <w:pPr>
              <w:spacing w:after="0" w:line="240" w:lineRule="auto"/>
              <w:rPr>
                <w:rFonts w:ascii="Times New Roman" w:eastAsia="Times New Roman" w:hAnsi="Times New Roman" w:cs="Times New Roman"/>
                <w:b/>
                <w:bCs/>
                <w:sz w:val="16"/>
                <w:szCs w:val="16"/>
                <w:lang w:eastAsia="bg-BG"/>
              </w:rPr>
            </w:pP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both"/>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І.</w:t>
            </w:r>
          </w:p>
        </w:tc>
        <w:tc>
          <w:tcPr>
            <w:tcW w:w="5986"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Общо ведомствени разходи:</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3 331 624</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xml:space="preserve">   Персонал</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6 726 200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6 726 200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2 911 165</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xml:space="preserve">   Издръжка</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678 700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678 700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417 398</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xml:space="preserve">   Капиталови разходи</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320 000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320 000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3 061</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both"/>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1</w:t>
            </w:r>
          </w:p>
        </w:tc>
        <w:tc>
          <w:tcPr>
            <w:tcW w:w="5986"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ind w:firstLineChars="300" w:firstLine="480"/>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Ведомствени разходи по бюджета на ПРБ:</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3 331 624</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ind w:firstLineChars="300" w:firstLine="480"/>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xml:space="preserve">   Персонал</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6 726 200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6 726 200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2 911 165</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ind w:firstLineChars="300" w:firstLine="480"/>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xml:space="preserve">   Издръжка</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678 700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678 700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417 398</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ind w:firstLineChars="300" w:firstLine="480"/>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xml:space="preserve">   Капиталови разходи</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320 000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320 000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3 061</w:t>
            </w:r>
          </w:p>
        </w:tc>
      </w:tr>
      <w:tr w:rsidR="00B95AAC" w:rsidRPr="0017593B" w:rsidTr="00543EEE">
        <w:trPr>
          <w:trHeight w:val="829"/>
        </w:trPr>
        <w:tc>
          <w:tcPr>
            <w:tcW w:w="960" w:type="dxa"/>
            <w:tcBorders>
              <w:top w:val="single" w:sz="8" w:space="0" w:color="auto"/>
              <w:left w:val="single" w:sz="8" w:space="0" w:color="auto"/>
              <w:bottom w:val="single" w:sz="4"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center"/>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w:t>
            </w:r>
          </w:p>
        </w:tc>
        <w:tc>
          <w:tcPr>
            <w:tcW w:w="5986" w:type="dxa"/>
            <w:tcBorders>
              <w:top w:val="single" w:sz="8" w:space="0" w:color="auto"/>
              <w:left w:val="nil"/>
              <w:bottom w:val="single" w:sz="4" w:space="0" w:color="auto"/>
              <w:right w:val="single" w:sz="8" w:space="0" w:color="auto"/>
            </w:tcBorders>
            <w:shd w:val="clear" w:color="000000" w:fill="E6E6E6"/>
            <w:vAlign w:val="bottom"/>
            <w:hideMark/>
          </w:tcPr>
          <w:p w:rsidR="00B95AAC" w:rsidRPr="0017593B" w:rsidRDefault="00B95AAC" w:rsidP="00B95AAC">
            <w:pPr>
              <w:spacing w:after="0" w:line="240" w:lineRule="auto"/>
              <w:jc w:val="both"/>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4200.01.01 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960" w:type="dxa"/>
            <w:tcBorders>
              <w:top w:val="single" w:sz="8" w:space="0" w:color="auto"/>
              <w:left w:val="single" w:sz="8" w:space="0" w:color="auto"/>
              <w:bottom w:val="single" w:sz="4" w:space="0" w:color="auto"/>
              <w:right w:val="single" w:sz="8" w:space="0" w:color="auto"/>
            </w:tcBorders>
            <w:shd w:val="clear" w:color="000000" w:fill="E6E6E6"/>
            <w:vAlign w:val="center"/>
            <w:hideMark/>
          </w:tcPr>
          <w:p w:rsidR="00B95AAC" w:rsidRPr="0017593B" w:rsidRDefault="00B95AAC" w:rsidP="00B95AAC">
            <w:pPr>
              <w:spacing w:after="0" w:line="240" w:lineRule="auto"/>
              <w:jc w:val="center"/>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Закон</w:t>
            </w:r>
          </w:p>
        </w:tc>
        <w:tc>
          <w:tcPr>
            <w:tcW w:w="960" w:type="dxa"/>
            <w:tcBorders>
              <w:top w:val="single" w:sz="8" w:space="0" w:color="auto"/>
              <w:left w:val="single" w:sz="8" w:space="0" w:color="auto"/>
              <w:bottom w:val="single" w:sz="4" w:space="0" w:color="auto"/>
              <w:right w:val="single" w:sz="8" w:space="0" w:color="auto"/>
            </w:tcBorders>
            <w:shd w:val="clear" w:color="000000" w:fill="E6E6E6"/>
            <w:vAlign w:val="center"/>
            <w:hideMark/>
          </w:tcPr>
          <w:p w:rsidR="00B95AAC" w:rsidRPr="0017593B" w:rsidRDefault="00B95AAC" w:rsidP="00B95AAC">
            <w:pPr>
              <w:spacing w:after="0" w:line="240" w:lineRule="auto"/>
              <w:jc w:val="center"/>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Уточнен план</w:t>
            </w:r>
          </w:p>
        </w:tc>
        <w:tc>
          <w:tcPr>
            <w:tcW w:w="960"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95AAC" w:rsidRPr="0017593B" w:rsidRDefault="00B95AAC" w:rsidP="00B95AAC">
            <w:pPr>
              <w:spacing w:after="0" w:line="240" w:lineRule="auto"/>
              <w:jc w:val="center"/>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Отчет</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both"/>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2</w:t>
            </w:r>
          </w:p>
        </w:tc>
        <w:tc>
          <w:tcPr>
            <w:tcW w:w="5986"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ind w:firstLineChars="300" w:firstLine="480"/>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 xml:space="preserve">Ведомствени разходи по други бюджети и сметки за средства от ЕС </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r>
      <w:tr w:rsidR="00B95AAC" w:rsidRPr="0017593B" w:rsidTr="00543EEE">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single" w:sz="4" w:space="0" w:color="auto"/>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ind w:firstLineChars="300" w:firstLine="480"/>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xml:space="preserve">   Персонал</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0</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0</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ind w:firstLineChars="300" w:firstLine="480"/>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xml:space="preserve">   Издръжка</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0</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ind w:firstLineChars="300" w:firstLine="480"/>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xml:space="preserve">   Капиталови разходи</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0</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0</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both"/>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ІІ.</w:t>
            </w:r>
          </w:p>
        </w:tc>
        <w:tc>
          <w:tcPr>
            <w:tcW w:w="5986"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 xml:space="preserve">Администрирани разходни параграфи по бюджета </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both"/>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ІІІ.</w:t>
            </w:r>
          </w:p>
        </w:tc>
        <w:tc>
          <w:tcPr>
            <w:tcW w:w="5986"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Администрирани разходни параграфи по други бюджети и сметки за средства от ЕС</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both"/>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 </w:t>
            </w:r>
          </w:p>
        </w:tc>
        <w:tc>
          <w:tcPr>
            <w:tcW w:w="5986"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Общо администрирани разходи (ІІ+ІІІ):</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0</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both"/>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 </w:t>
            </w:r>
          </w:p>
        </w:tc>
        <w:tc>
          <w:tcPr>
            <w:tcW w:w="5986"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Общо разходи по бюджета (І.1+ІІ):</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3 331 624</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both"/>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 </w:t>
            </w:r>
          </w:p>
        </w:tc>
        <w:tc>
          <w:tcPr>
            <w:tcW w:w="5986"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Общо разходи (І+ІІ+ІІІ):</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rsidR="00B95AAC" w:rsidRPr="0017593B" w:rsidRDefault="00B95AAC" w:rsidP="00B95AAC">
            <w:pPr>
              <w:spacing w:after="0" w:line="240" w:lineRule="auto"/>
              <w:jc w:val="right"/>
              <w:rPr>
                <w:rFonts w:ascii="Times New Roman" w:eastAsia="Times New Roman" w:hAnsi="Times New Roman" w:cs="Times New Roman"/>
                <w:b/>
                <w:bCs/>
                <w:sz w:val="16"/>
                <w:szCs w:val="16"/>
                <w:lang w:eastAsia="bg-BG"/>
              </w:rPr>
            </w:pPr>
            <w:r w:rsidRPr="0017593B">
              <w:rPr>
                <w:rFonts w:ascii="Times New Roman" w:eastAsia="Times New Roman" w:hAnsi="Times New Roman" w:cs="Times New Roman"/>
                <w:b/>
                <w:bCs/>
                <w:sz w:val="16"/>
                <w:szCs w:val="16"/>
                <w:lang w:eastAsia="bg-BG"/>
              </w:rPr>
              <w:t>3 331 624</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Численост на щатния персонал</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117</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117</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98</w:t>
            </w:r>
          </w:p>
        </w:tc>
      </w:tr>
      <w:tr w:rsidR="00B95AAC" w:rsidRPr="0017593B" w:rsidTr="00543E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both"/>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 </w:t>
            </w:r>
          </w:p>
        </w:tc>
        <w:tc>
          <w:tcPr>
            <w:tcW w:w="5986"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Численост на извънщатния персонал</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7</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7</w:t>
            </w:r>
          </w:p>
        </w:tc>
        <w:tc>
          <w:tcPr>
            <w:tcW w:w="960" w:type="dxa"/>
            <w:tcBorders>
              <w:top w:val="nil"/>
              <w:left w:val="nil"/>
              <w:bottom w:val="single" w:sz="8" w:space="0" w:color="auto"/>
              <w:right w:val="single" w:sz="8" w:space="0" w:color="auto"/>
            </w:tcBorders>
            <w:shd w:val="clear" w:color="auto" w:fill="auto"/>
            <w:noWrap/>
            <w:vAlign w:val="center"/>
            <w:hideMark/>
          </w:tcPr>
          <w:p w:rsidR="00B95AAC" w:rsidRPr="0017593B" w:rsidRDefault="00B95AAC" w:rsidP="00B95AAC">
            <w:pPr>
              <w:spacing w:after="0" w:line="240" w:lineRule="auto"/>
              <w:jc w:val="right"/>
              <w:rPr>
                <w:rFonts w:ascii="Times New Roman" w:eastAsia="Times New Roman" w:hAnsi="Times New Roman" w:cs="Times New Roman"/>
                <w:sz w:val="16"/>
                <w:szCs w:val="16"/>
                <w:lang w:eastAsia="bg-BG"/>
              </w:rPr>
            </w:pPr>
            <w:r w:rsidRPr="0017593B">
              <w:rPr>
                <w:rFonts w:ascii="Times New Roman" w:eastAsia="Times New Roman" w:hAnsi="Times New Roman" w:cs="Times New Roman"/>
                <w:sz w:val="16"/>
                <w:szCs w:val="16"/>
                <w:lang w:eastAsia="bg-BG"/>
              </w:rPr>
              <w:t>3</w:t>
            </w:r>
          </w:p>
        </w:tc>
      </w:tr>
    </w:tbl>
    <w:p w:rsidR="001A62E7" w:rsidRPr="0034254D" w:rsidRDefault="001A62E7" w:rsidP="004D4C5E">
      <w:pPr>
        <w:spacing w:after="0" w:line="240" w:lineRule="auto"/>
        <w:jc w:val="both"/>
        <w:rPr>
          <w:rFonts w:ascii="Times New Roman" w:eastAsia="Times New Roman" w:hAnsi="Times New Roman" w:cs="Times New Roman"/>
          <w:b/>
          <w:i/>
          <w:sz w:val="23"/>
          <w:szCs w:val="23"/>
          <w:lang w:eastAsia="bg-BG"/>
        </w:rPr>
      </w:pPr>
      <w:r w:rsidRPr="0034254D">
        <w:rPr>
          <w:rFonts w:ascii="Times New Roman" w:eastAsia="Times New Roman" w:hAnsi="Times New Roman" w:cs="Times New Roman"/>
          <w:sz w:val="23"/>
          <w:szCs w:val="23"/>
          <w:lang w:eastAsia="bg-BG"/>
        </w:rPr>
        <w:t xml:space="preserve">                                                     </w:t>
      </w:r>
    </w:p>
    <w:sectPr w:rsidR="001A62E7" w:rsidRPr="0034254D" w:rsidSect="004F6C3C">
      <w:footerReference w:type="default" r:id="rId9"/>
      <w:pgSz w:w="11906" w:h="16838"/>
      <w:pgMar w:top="284" w:right="991" w:bottom="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D4D" w:rsidRDefault="00150D4D" w:rsidP="00474957">
      <w:pPr>
        <w:spacing w:after="0" w:line="240" w:lineRule="auto"/>
      </w:pPr>
      <w:r>
        <w:separator/>
      </w:r>
    </w:p>
  </w:endnote>
  <w:endnote w:type="continuationSeparator" w:id="0">
    <w:p w:rsidR="00150D4D" w:rsidRDefault="00150D4D" w:rsidP="0047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071456"/>
      <w:docPartObj>
        <w:docPartGallery w:val="Page Numbers (Bottom of Page)"/>
        <w:docPartUnique/>
      </w:docPartObj>
    </w:sdtPr>
    <w:sdtEndPr>
      <w:rPr>
        <w:noProof/>
      </w:rPr>
    </w:sdtEndPr>
    <w:sdtContent>
      <w:p w:rsidR="00DD47D3" w:rsidRDefault="00DD47D3">
        <w:pPr>
          <w:pStyle w:val="Footer"/>
          <w:jc w:val="center"/>
        </w:pPr>
        <w:r>
          <w:fldChar w:fldCharType="begin"/>
        </w:r>
        <w:r>
          <w:instrText xml:space="preserve"> PAGE   \* MERGEFORMAT </w:instrText>
        </w:r>
        <w:r>
          <w:fldChar w:fldCharType="separate"/>
        </w:r>
        <w:r w:rsidR="00627668">
          <w:rPr>
            <w:noProof/>
          </w:rPr>
          <w:t>5</w:t>
        </w:r>
        <w:r>
          <w:rPr>
            <w:noProof/>
          </w:rPr>
          <w:fldChar w:fldCharType="end"/>
        </w:r>
      </w:p>
    </w:sdtContent>
  </w:sdt>
  <w:p w:rsidR="00DD47D3" w:rsidRDefault="00DD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D4D" w:rsidRDefault="00150D4D" w:rsidP="00474957">
      <w:pPr>
        <w:spacing w:after="0" w:line="240" w:lineRule="auto"/>
      </w:pPr>
      <w:r>
        <w:separator/>
      </w:r>
    </w:p>
  </w:footnote>
  <w:footnote w:type="continuationSeparator" w:id="0">
    <w:p w:rsidR="00150D4D" w:rsidRDefault="00150D4D" w:rsidP="00474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11.1pt" o:bullet="t">
        <v:imagedata r:id="rId1" o:title="clip_image001"/>
      </v:shape>
    </w:pict>
  </w:numPicBullet>
  <w:abstractNum w:abstractNumId="0" w15:restartNumberingAfterBreak="0">
    <w:nsid w:val="01137229"/>
    <w:multiLevelType w:val="hybridMultilevel"/>
    <w:tmpl w:val="7884F092"/>
    <w:lvl w:ilvl="0" w:tplc="0402000F">
      <w:start w:val="1"/>
      <w:numFmt w:val="decimal"/>
      <w:lvlText w:val="%1."/>
      <w:lvlJc w:val="left"/>
      <w:pPr>
        <w:ind w:left="2062" w:hanging="360"/>
      </w:pPr>
      <w:rPr>
        <w:rFonts w:hint="default"/>
      </w:rPr>
    </w:lvl>
    <w:lvl w:ilvl="1" w:tplc="04020019" w:tentative="1">
      <w:start w:val="1"/>
      <w:numFmt w:val="lowerLetter"/>
      <w:lvlText w:val="%2."/>
      <w:lvlJc w:val="left"/>
      <w:pPr>
        <w:ind w:left="2782" w:hanging="360"/>
      </w:pPr>
    </w:lvl>
    <w:lvl w:ilvl="2" w:tplc="0402001B" w:tentative="1">
      <w:start w:val="1"/>
      <w:numFmt w:val="lowerRoman"/>
      <w:lvlText w:val="%3."/>
      <w:lvlJc w:val="right"/>
      <w:pPr>
        <w:ind w:left="3502" w:hanging="180"/>
      </w:pPr>
    </w:lvl>
    <w:lvl w:ilvl="3" w:tplc="0402000F" w:tentative="1">
      <w:start w:val="1"/>
      <w:numFmt w:val="decimal"/>
      <w:lvlText w:val="%4."/>
      <w:lvlJc w:val="left"/>
      <w:pPr>
        <w:ind w:left="4222" w:hanging="360"/>
      </w:pPr>
    </w:lvl>
    <w:lvl w:ilvl="4" w:tplc="04020019" w:tentative="1">
      <w:start w:val="1"/>
      <w:numFmt w:val="lowerLetter"/>
      <w:lvlText w:val="%5."/>
      <w:lvlJc w:val="left"/>
      <w:pPr>
        <w:ind w:left="4942" w:hanging="360"/>
      </w:pPr>
    </w:lvl>
    <w:lvl w:ilvl="5" w:tplc="0402001B" w:tentative="1">
      <w:start w:val="1"/>
      <w:numFmt w:val="lowerRoman"/>
      <w:lvlText w:val="%6."/>
      <w:lvlJc w:val="right"/>
      <w:pPr>
        <w:ind w:left="5662" w:hanging="180"/>
      </w:pPr>
    </w:lvl>
    <w:lvl w:ilvl="6" w:tplc="0402000F" w:tentative="1">
      <w:start w:val="1"/>
      <w:numFmt w:val="decimal"/>
      <w:lvlText w:val="%7."/>
      <w:lvlJc w:val="left"/>
      <w:pPr>
        <w:ind w:left="6382" w:hanging="360"/>
      </w:pPr>
    </w:lvl>
    <w:lvl w:ilvl="7" w:tplc="04020019" w:tentative="1">
      <w:start w:val="1"/>
      <w:numFmt w:val="lowerLetter"/>
      <w:lvlText w:val="%8."/>
      <w:lvlJc w:val="left"/>
      <w:pPr>
        <w:ind w:left="7102" w:hanging="360"/>
      </w:pPr>
    </w:lvl>
    <w:lvl w:ilvl="8" w:tplc="0402001B" w:tentative="1">
      <w:start w:val="1"/>
      <w:numFmt w:val="lowerRoman"/>
      <w:lvlText w:val="%9."/>
      <w:lvlJc w:val="right"/>
      <w:pPr>
        <w:ind w:left="7822" w:hanging="180"/>
      </w:pPr>
    </w:lvl>
  </w:abstractNum>
  <w:abstractNum w:abstractNumId="1" w15:restartNumberingAfterBreak="0">
    <w:nsid w:val="05263A30"/>
    <w:multiLevelType w:val="hybridMultilevel"/>
    <w:tmpl w:val="51E65456"/>
    <w:lvl w:ilvl="0" w:tplc="E85A475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62A1DD7"/>
    <w:multiLevelType w:val="hybridMultilevel"/>
    <w:tmpl w:val="E08AB98C"/>
    <w:lvl w:ilvl="0" w:tplc="E85A4758">
      <w:start w:val="1"/>
      <w:numFmt w:val="bullet"/>
      <w:lvlText w:val="-"/>
      <w:lvlJc w:val="left"/>
      <w:pPr>
        <w:ind w:left="1440" w:hanging="360"/>
      </w:pPr>
      <w:rPr>
        <w:rFonts w:ascii="Times New Roman" w:eastAsiaTheme="minorHAns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96767B3"/>
    <w:multiLevelType w:val="hybridMultilevel"/>
    <w:tmpl w:val="B8201C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1C72645"/>
    <w:multiLevelType w:val="hybridMultilevel"/>
    <w:tmpl w:val="BC8E2A36"/>
    <w:lvl w:ilvl="0" w:tplc="E1C0333C">
      <w:start w:val="1"/>
      <w:numFmt w:val="decimal"/>
      <w:lvlText w:val="%1."/>
      <w:lvlJc w:val="left"/>
      <w:pPr>
        <w:ind w:left="1070" w:hanging="360"/>
      </w:pPr>
      <w:rPr>
        <w:rFonts w:ascii="Times New Roman" w:eastAsia="Times New Roman" w:hAnsi="Times New Roman" w:cs="Times New Roman"/>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5" w15:restartNumberingAfterBreak="0">
    <w:nsid w:val="161B35F5"/>
    <w:multiLevelType w:val="hybridMultilevel"/>
    <w:tmpl w:val="7E784016"/>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16EC1894"/>
    <w:multiLevelType w:val="hybridMultilevel"/>
    <w:tmpl w:val="56FC9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16F727F5"/>
    <w:multiLevelType w:val="hybridMultilevel"/>
    <w:tmpl w:val="7EF642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A747760"/>
    <w:multiLevelType w:val="hybridMultilevel"/>
    <w:tmpl w:val="C3C4BAEA"/>
    <w:lvl w:ilvl="0" w:tplc="0402000D">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9" w15:restartNumberingAfterBreak="0">
    <w:nsid w:val="1B59697F"/>
    <w:multiLevelType w:val="hybridMultilevel"/>
    <w:tmpl w:val="364A2C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4CD07CE"/>
    <w:multiLevelType w:val="hybridMultilevel"/>
    <w:tmpl w:val="D43822EE"/>
    <w:lvl w:ilvl="0" w:tplc="04020007">
      <w:start w:val="1"/>
      <w:numFmt w:val="bullet"/>
      <w:lvlText w:val=""/>
      <w:lvlPicBulletId w:val="0"/>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11" w15:restartNumberingAfterBreak="0">
    <w:nsid w:val="28115748"/>
    <w:multiLevelType w:val="hybridMultilevel"/>
    <w:tmpl w:val="135AD960"/>
    <w:lvl w:ilvl="0" w:tplc="59C4080C">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9067A36"/>
    <w:multiLevelType w:val="hybridMultilevel"/>
    <w:tmpl w:val="E46C8630"/>
    <w:lvl w:ilvl="0" w:tplc="26C82CC4">
      <w:start w:val="1"/>
      <w:numFmt w:val="bullet"/>
      <w:lvlText w:val="-"/>
      <w:lvlJc w:val="left"/>
      <w:pPr>
        <w:ind w:left="927" w:hanging="360"/>
      </w:pPr>
      <w:rPr>
        <w:rFonts w:ascii="Times New Roman" w:eastAsiaTheme="minorHAns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3" w15:restartNumberingAfterBreak="0">
    <w:nsid w:val="290C7701"/>
    <w:multiLevelType w:val="hybridMultilevel"/>
    <w:tmpl w:val="46B062A8"/>
    <w:lvl w:ilvl="0" w:tplc="04020009">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14" w15:restartNumberingAfterBreak="0">
    <w:nsid w:val="2CBE3959"/>
    <w:multiLevelType w:val="hybridMultilevel"/>
    <w:tmpl w:val="8836FB7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D136376"/>
    <w:multiLevelType w:val="hybridMultilevel"/>
    <w:tmpl w:val="C706E3A8"/>
    <w:lvl w:ilvl="0" w:tplc="DB70FD20">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6" w15:restartNumberingAfterBreak="0">
    <w:nsid w:val="2F72720C"/>
    <w:multiLevelType w:val="hybridMultilevel"/>
    <w:tmpl w:val="0C7896AC"/>
    <w:lvl w:ilvl="0" w:tplc="DB70FD20">
      <w:numFmt w:val="bullet"/>
      <w:lvlText w:val="•"/>
      <w:lvlJc w:val="left"/>
      <w:pPr>
        <w:ind w:left="1146" w:hanging="360"/>
      </w:pPr>
      <w:rPr>
        <w:rFonts w:ascii="Times New Roman" w:eastAsia="Calibri"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7" w15:restartNumberingAfterBreak="0">
    <w:nsid w:val="33A75803"/>
    <w:multiLevelType w:val="hybridMultilevel"/>
    <w:tmpl w:val="6792AD04"/>
    <w:lvl w:ilvl="0" w:tplc="DB70FD20">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15:restartNumberingAfterBreak="0">
    <w:nsid w:val="35843865"/>
    <w:multiLevelType w:val="hybridMultilevel"/>
    <w:tmpl w:val="004E09B6"/>
    <w:lvl w:ilvl="0" w:tplc="C79099D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0E775B"/>
    <w:multiLevelType w:val="hybridMultilevel"/>
    <w:tmpl w:val="5C6646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A28526F"/>
    <w:multiLevelType w:val="hybridMultilevel"/>
    <w:tmpl w:val="48BE2606"/>
    <w:lvl w:ilvl="0" w:tplc="E85A475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AF03FD3"/>
    <w:multiLevelType w:val="hybridMultilevel"/>
    <w:tmpl w:val="833C392C"/>
    <w:lvl w:ilvl="0" w:tplc="04020009">
      <w:start w:val="1"/>
      <w:numFmt w:val="bullet"/>
      <w:lvlText w:val=""/>
      <w:lvlJc w:val="left"/>
      <w:pPr>
        <w:ind w:left="862" w:hanging="360"/>
      </w:pPr>
      <w:rPr>
        <w:rFonts w:ascii="Wingdings" w:hAnsi="Wingdings" w:hint="default"/>
      </w:rPr>
    </w:lvl>
    <w:lvl w:ilvl="1" w:tplc="04020003">
      <w:start w:val="1"/>
      <w:numFmt w:val="bullet"/>
      <w:lvlText w:val="o"/>
      <w:lvlJc w:val="left"/>
      <w:pPr>
        <w:ind w:left="1582" w:hanging="360"/>
      </w:pPr>
      <w:rPr>
        <w:rFonts w:ascii="Courier New" w:hAnsi="Courier New" w:cs="Courier New" w:hint="default"/>
      </w:rPr>
    </w:lvl>
    <w:lvl w:ilvl="2" w:tplc="04020005">
      <w:start w:val="1"/>
      <w:numFmt w:val="bullet"/>
      <w:lvlText w:val=""/>
      <w:lvlJc w:val="left"/>
      <w:pPr>
        <w:ind w:left="2302" w:hanging="360"/>
      </w:pPr>
      <w:rPr>
        <w:rFonts w:ascii="Wingdings" w:hAnsi="Wingdings" w:hint="default"/>
      </w:rPr>
    </w:lvl>
    <w:lvl w:ilvl="3" w:tplc="04020001">
      <w:start w:val="1"/>
      <w:numFmt w:val="bullet"/>
      <w:lvlText w:val=""/>
      <w:lvlJc w:val="left"/>
      <w:pPr>
        <w:ind w:left="3022" w:hanging="360"/>
      </w:pPr>
      <w:rPr>
        <w:rFonts w:ascii="Symbol" w:hAnsi="Symbol" w:hint="default"/>
      </w:rPr>
    </w:lvl>
    <w:lvl w:ilvl="4" w:tplc="04020003">
      <w:start w:val="1"/>
      <w:numFmt w:val="bullet"/>
      <w:lvlText w:val="o"/>
      <w:lvlJc w:val="left"/>
      <w:pPr>
        <w:ind w:left="3742" w:hanging="360"/>
      </w:pPr>
      <w:rPr>
        <w:rFonts w:ascii="Courier New" w:hAnsi="Courier New" w:cs="Courier New" w:hint="default"/>
      </w:rPr>
    </w:lvl>
    <w:lvl w:ilvl="5" w:tplc="04020005">
      <w:start w:val="1"/>
      <w:numFmt w:val="bullet"/>
      <w:lvlText w:val=""/>
      <w:lvlJc w:val="left"/>
      <w:pPr>
        <w:ind w:left="4462" w:hanging="360"/>
      </w:pPr>
      <w:rPr>
        <w:rFonts w:ascii="Wingdings" w:hAnsi="Wingdings" w:hint="default"/>
      </w:rPr>
    </w:lvl>
    <w:lvl w:ilvl="6" w:tplc="04020001">
      <w:start w:val="1"/>
      <w:numFmt w:val="bullet"/>
      <w:lvlText w:val=""/>
      <w:lvlJc w:val="left"/>
      <w:pPr>
        <w:ind w:left="5182" w:hanging="360"/>
      </w:pPr>
      <w:rPr>
        <w:rFonts w:ascii="Symbol" w:hAnsi="Symbol" w:hint="default"/>
      </w:rPr>
    </w:lvl>
    <w:lvl w:ilvl="7" w:tplc="04020003">
      <w:start w:val="1"/>
      <w:numFmt w:val="bullet"/>
      <w:lvlText w:val="o"/>
      <w:lvlJc w:val="left"/>
      <w:pPr>
        <w:ind w:left="5902" w:hanging="360"/>
      </w:pPr>
      <w:rPr>
        <w:rFonts w:ascii="Courier New" w:hAnsi="Courier New" w:cs="Courier New" w:hint="default"/>
      </w:rPr>
    </w:lvl>
    <w:lvl w:ilvl="8" w:tplc="04020005">
      <w:start w:val="1"/>
      <w:numFmt w:val="bullet"/>
      <w:lvlText w:val=""/>
      <w:lvlJc w:val="left"/>
      <w:pPr>
        <w:ind w:left="6622" w:hanging="360"/>
      </w:pPr>
      <w:rPr>
        <w:rFonts w:ascii="Wingdings" w:hAnsi="Wingdings" w:hint="default"/>
      </w:rPr>
    </w:lvl>
  </w:abstractNum>
  <w:abstractNum w:abstractNumId="22" w15:restartNumberingAfterBreak="0">
    <w:nsid w:val="3BB417E6"/>
    <w:multiLevelType w:val="hybridMultilevel"/>
    <w:tmpl w:val="079EA44E"/>
    <w:lvl w:ilvl="0" w:tplc="DB70FD20">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D0B02D7"/>
    <w:multiLevelType w:val="hybridMultilevel"/>
    <w:tmpl w:val="331AFB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4" w15:restartNumberingAfterBreak="0">
    <w:nsid w:val="3F096CFE"/>
    <w:multiLevelType w:val="hybridMultilevel"/>
    <w:tmpl w:val="02643708"/>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5" w15:restartNumberingAfterBreak="0">
    <w:nsid w:val="403F60C7"/>
    <w:multiLevelType w:val="hybridMultilevel"/>
    <w:tmpl w:val="08ECAFE0"/>
    <w:lvl w:ilvl="0" w:tplc="0646FC20">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15:restartNumberingAfterBreak="0">
    <w:nsid w:val="457858F8"/>
    <w:multiLevelType w:val="hybridMultilevel"/>
    <w:tmpl w:val="66BC9A6A"/>
    <w:lvl w:ilvl="0" w:tplc="DA744B3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725195E"/>
    <w:multiLevelType w:val="hybridMultilevel"/>
    <w:tmpl w:val="B62433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8" w15:restartNumberingAfterBreak="0">
    <w:nsid w:val="4EFE3281"/>
    <w:multiLevelType w:val="hybridMultilevel"/>
    <w:tmpl w:val="9AE83C0C"/>
    <w:lvl w:ilvl="0" w:tplc="0B94A87E">
      <w:start w:val="1"/>
      <w:numFmt w:val="bullet"/>
      <w:lvlText w:val=""/>
      <w:lvlJc w:val="left"/>
      <w:pPr>
        <w:tabs>
          <w:tab w:val="num" w:pos="3051"/>
        </w:tabs>
        <w:ind w:left="3051" w:hanging="360"/>
      </w:pPr>
      <w:rPr>
        <w:rFonts w:ascii="Symbol" w:hAnsi="Symbol" w:hint="default"/>
        <w:color w:val="auto"/>
      </w:rPr>
    </w:lvl>
    <w:lvl w:ilvl="1" w:tplc="E30CCF80">
      <w:numFmt w:val="bullet"/>
      <w:lvlText w:val="-"/>
      <w:lvlJc w:val="left"/>
      <w:pPr>
        <w:tabs>
          <w:tab w:val="num" w:pos="2342"/>
        </w:tabs>
        <w:ind w:left="2342" w:hanging="360"/>
      </w:pPr>
      <w:rPr>
        <w:rFonts w:ascii="Arial" w:eastAsia="Times New Roman" w:hAnsi="Arial" w:hint="default"/>
        <w:color w:val="auto"/>
      </w:rPr>
    </w:lvl>
    <w:lvl w:ilvl="2" w:tplc="04020005" w:tentative="1">
      <w:start w:val="1"/>
      <w:numFmt w:val="bullet"/>
      <w:lvlText w:val=""/>
      <w:lvlJc w:val="left"/>
      <w:pPr>
        <w:tabs>
          <w:tab w:val="num" w:pos="3062"/>
        </w:tabs>
        <w:ind w:left="3062" w:hanging="360"/>
      </w:pPr>
      <w:rPr>
        <w:rFonts w:ascii="Wingdings" w:hAnsi="Wingdings" w:hint="default"/>
      </w:rPr>
    </w:lvl>
    <w:lvl w:ilvl="3" w:tplc="04020001" w:tentative="1">
      <w:start w:val="1"/>
      <w:numFmt w:val="bullet"/>
      <w:lvlText w:val=""/>
      <w:lvlJc w:val="left"/>
      <w:pPr>
        <w:tabs>
          <w:tab w:val="num" w:pos="3782"/>
        </w:tabs>
        <w:ind w:left="3782" w:hanging="360"/>
      </w:pPr>
      <w:rPr>
        <w:rFonts w:ascii="Symbol" w:hAnsi="Symbol" w:hint="default"/>
      </w:rPr>
    </w:lvl>
    <w:lvl w:ilvl="4" w:tplc="04020003" w:tentative="1">
      <w:start w:val="1"/>
      <w:numFmt w:val="bullet"/>
      <w:lvlText w:val="o"/>
      <w:lvlJc w:val="left"/>
      <w:pPr>
        <w:tabs>
          <w:tab w:val="num" w:pos="4502"/>
        </w:tabs>
        <w:ind w:left="4502" w:hanging="360"/>
      </w:pPr>
      <w:rPr>
        <w:rFonts w:ascii="Courier New" w:hAnsi="Courier New" w:hint="default"/>
      </w:rPr>
    </w:lvl>
    <w:lvl w:ilvl="5" w:tplc="04020005" w:tentative="1">
      <w:start w:val="1"/>
      <w:numFmt w:val="bullet"/>
      <w:lvlText w:val=""/>
      <w:lvlJc w:val="left"/>
      <w:pPr>
        <w:tabs>
          <w:tab w:val="num" w:pos="5222"/>
        </w:tabs>
        <w:ind w:left="5222" w:hanging="360"/>
      </w:pPr>
      <w:rPr>
        <w:rFonts w:ascii="Wingdings" w:hAnsi="Wingdings" w:hint="default"/>
      </w:rPr>
    </w:lvl>
    <w:lvl w:ilvl="6" w:tplc="04020001" w:tentative="1">
      <w:start w:val="1"/>
      <w:numFmt w:val="bullet"/>
      <w:lvlText w:val=""/>
      <w:lvlJc w:val="left"/>
      <w:pPr>
        <w:tabs>
          <w:tab w:val="num" w:pos="5942"/>
        </w:tabs>
        <w:ind w:left="5942" w:hanging="360"/>
      </w:pPr>
      <w:rPr>
        <w:rFonts w:ascii="Symbol" w:hAnsi="Symbol" w:hint="default"/>
      </w:rPr>
    </w:lvl>
    <w:lvl w:ilvl="7" w:tplc="04020003" w:tentative="1">
      <w:start w:val="1"/>
      <w:numFmt w:val="bullet"/>
      <w:lvlText w:val="o"/>
      <w:lvlJc w:val="left"/>
      <w:pPr>
        <w:tabs>
          <w:tab w:val="num" w:pos="6662"/>
        </w:tabs>
        <w:ind w:left="6662" w:hanging="360"/>
      </w:pPr>
      <w:rPr>
        <w:rFonts w:ascii="Courier New" w:hAnsi="Courier New" w:hint="default"/>
      </w:rPr>
    </w:lvl>
    <w:lvl w:ilvl="8" w:tplc="04020005" w:tentative="1">
      <w:start w:val="1"/>
      <w:numFmt w:val="bullet"/>
      <w:lvlText w:val=""/>
      <w:lvlJc w:val="left"/>
      <w:pPr>
        <w:tabs>
          <w:tab w:val="num" w:pos="7382"/>
        </w:tabs>
        <w:ind w:left="7382" w:hanging="360"/>
      </w:pPr>
      <w:rPr>
        <w:rFonts w:ascii="Wingdings" w:hAnsi="Wingdings" w:hint="default"/>
      </w:rPr>
    </w:lvl>
  </w:abstractNum>
  <w:abstractNum w:abstractNumId="29" w15:restartNumberingAfterBreak="0">
    <w:nsid w:val="51113D56"/>
    <w:multiLevelType w:val="hybridMultilevel"/>
    <w:tmpl w:val="7304F93C"/>
    <w:lvl w:ilvl="0" w:tplc="04020007">
      <w:start w:val="1"/>
      <w:numFmt w:val="bullet"/>
      <w:lvlText w:val=""/>
      <w:lvlPicBulletId w:val="0"/>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30" w15:restartNumberingAfterBreak="0">
    <w:nsid w:val="532E6290"/>
    <w:multiLevelType w:val="hybridMultilevel"/>
    <w:tmpl w:val="DB644A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3604F4A"/>
    <w:multiLevelType w:val="hybridMultilevel"/>
    <w:tmpl w:val="4C68A39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2" w15:restartNumberingAfterBreak="0">
    <w:nsid w:val="562F01DA"/>
    <w:multiLevelType w:val="hybridMultilevel"/>
    <w:tmpl w:val="8ECCA4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7F11239"/>
    <w:multiLevelType w:val="multilevel"/>
    <w:tmpl w:val="31CE2F56"/>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4" w15:restartNumberingAfterBreak="0">
    <w:nsid w:val="6545539D"/>
    <w:multiLevelType w:val="hybridMultilevel"/>
    <w:tmpl w:val="DDDA7B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5F66AF9"/>
    <w:multiLevelType w:val="hybridMultilevel"/>
    <w:tmpl w:val="77EC3D46"/>
    <w:lvl w:ilvl="0" w:tplc="4C6AF2F6">
      <w:start w:val="1"/>
      <w:numFmt w:val="decimal"/>
      <w:lvlText w:val="%1."/>
      <w:lvlJc w:val="left"/>
      <w:pPr>
        <w:ind w:left="1110" w:hanging="360"/>
      </w:pPr>
      <w:rPr>
        <w:rFonts w:eastAsia="Batang" w:hint="default"/>
      </w:rPr>
    </w:lvl>
    <w:lvl w:ilvl="1" w:tplc="04020019" w:tentative="1">
      <w:start w:val="1"/>
      <w:numFmt w:val="lowerLetter"/>
      <w:lvlText w:val="%2."/>
      <w:lvlJc w:val="left"/>
      <w:pPr>
        <w:ind w:left="1830" w:hanging="360"/>
      </w:pPr>
    </w:lvl>
    <w:lvl w:ilvl="2" w:tplc="0402001B" w:tentative="1">
      <w:start w:val="1"/>
      <w:numFmt w:val="lowerRoman"/>
      <w:lvlText w:val="%3."/>
      <w:lvlJc w:val="right"/>
      <w:pPr>
        <w:ind w:left="2550" w:hanging="180"/>
      </w:pPr>
    </w:lvl>
    <w:lvl w:ilvl="3" w:tplc="0402000F" w:tentative="1">
      <w:start w:val="1"/>
      <w:numFmt w:val="decimal"/>
      <w:lvlText w:val="%4."/>
      <w:lvlJc w:val="left"/>
      <w:pPr>
        <w:ind w:left="3270" w:hanging="360"/>
      </w:pPr>
    </w:lvl>
    <w:lvl w:ilvl="4" w:tplc="04020019" w:tentative="1">
      <w:start w:val="1"/>
      <w:numFmt w:val="lowerLetter"/>
      <w:lvlText w:val="%5."/>
      <w:lvlJc w:val="left"/>
      <w:pPr>
        <w:ind w:left="3990" w:hanging="360"/>
      </w:pPr>
    </w:lvl>
    <w:lvl w:ilvl="5" w:tplc="0402001B" w:tentative="1">
      <w:start w:val="1"/>
      <w:numFmt w:val="lowerRoman"/>
      <w:lvlText w:val="%6."/>
      <w:lvlJc w:val="right"/>
      <w:pPr>
        <w:ind w:left="4710" w:hanging="180"/>
      </w:pPr>
    </w:lvl>
    <w:lvl w:ilvl="6" w:tplc="0402000F" w:tentative="1">
      <w:start w:val="1"/>
      <w:numFmt w:val="decimal"/>
      <w:lvlText w:val="%7."/>
      <w:lvlJc w:val="left"/>
      <w:pPr>
        <w:ind w:left="5430" w:hanging="360"/>
      </w:pPr>
    </w:lvl>
    <w:lvl w:ilvl="7" w:tplc="04020019" w:tentative="1">
      <w:start w:val="1"/>
      <w:numFmt w:val="lowerLetter"/>
      <w:lvlText w:val="%8."/>
      <w:lvlJc w:val="left"/>
      <w:pPr>
        <w:ind w:left="6150" w:hanging="360"/>
      </w:pPr>
    </w:lvl>
    <w:lvl w:ilvl="8" w:tplc="0402001B" w:tentative="1">
      <w:start w:val="1"/>
      <w:numFmt w:val="lowerRoman"/>
      <w:lvlText w:val="%9."/>
      <w:lvlJc w:val="right"/>
      <w:pPr>
        <w:ind w:left="6870" w:hanging="180"/>
      </w:pPr>
    </w:lvl>
  </w:abstractNum>
  <w:abstractNum w:abstractNumId="36" w15:restartNumberingAfterBreak="0">
    <w:nsid w:val="68C8072F"/>
    <w:multiLevelType w:val="hybridMultilevel"/>
    <w:tmpl w:val="2AAEC654"/>
    <w:lvl w:ilvl="0" w:tplc="40623D7E">
      <w:start w:val="1"/>
      <w:numFmt w:val="bullet"/>
      <w:lvlText w:val=""/>
      <w:lvlJc w:val="left"/>
      <w:pPr>
        <w:ind w:left="1065" w:hanging="360"/>
      </w:pPr>
      <w:rPr>
        <w:rFonts w:ascii="Wingdings" w:hAnsi="Wingdings" w:hint="default"/>
        <w:color w:val="auto"/>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7" w15:restartNumberingAfterBreak="0">
    <w:nsid w:val="6A1C0DCD"/>
    <w:multiLevelType w:val="hybridMultilevel"/>
    <w:tmpl w:val="5FE8B754"/>
    <w:lvl w:ilvl="0" w:tplc="2A44C52A">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6EF04B87"/>
    <w:multiLevelType w:val="hybridMultilevel"/>
    <w:tmpl w:val="7CBEF2D4"/>
    <w:lvl w:ilvl="0" w:tplc="987680FA">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15:restartNumberingAfterBreak="0">
    <w:nsid w:val="71AE6F65"/>
    <w:multiLevelType w:val="hybridMultilevel"/>
    <w:tmpl w:val="7E9EE3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4EB27DA"/>
    <w:multiLevelType w:val="hybridMultilevel"/>
    <w:tmpl w:val="BF18A980"/>
    <w:lvl w:ilvl="0" w:tplc="04020009">
      <w:start w:val="1"/>
      <w:numFmt w:val="bullet"/>
      <w:lvlText w:val=""/>
      <w:lvlJc w:val="left"/>
      <w:pPr>
        <w:ind w:left="3336" w:hanging="360"/>
      </w:pPr>
      <w:rPr>
        <w:rFonts w:ascii="Wingdings" w:hAnsi="Wingdings" w:hint="default"/>
      </w:rPr>
    </w:lvl>
    <w:lvl w:ilvl="1" w:tplc="04090003">
      <w:start w:val="1"/>
      <w:numFmt w:val="bullet"/>
      <w:lvlText w:val="o"/>
      <w:lvlJc w:val="left"/>
      <w:pPr>
        <w:ind w:left="4056" w:hanging="360"/>
      </w:pPr>
      <w:rPr>
        <w:rFonts w:ascii="Courier New" w:hAnsi="Courier New" w:cs="Courier New" w:hint="default"/>
      </w:rPr>
    </w:lvl>
    <w:lvl w:ilvl="2" w:tplc="04090005">
      <w:start w:val="1"/>
      <w:numFmt w:val="bullet"/>
      <w:lvlText w:val=""/>
      <w:lvlJc w:val="left"/>
      <w:pPr>
        <w:ind w:left="4776" w:hanging="360"/>
      </w:pPr>
      <w:rPr>
        <w:rFonts w:ascii="Wingdings" w:hAnsi="Wingdings" w:hint="default"/>
      </w:rPr>
    </w:lvl>
    <w:lvl w:ilvl="3" w:tplc="04090001">
      <w:start w:val="1"/>
      <w:numFmt w:val="bullet"/>
      <w:lvlText w:val=""/>
      <w:lvlJc w:val="left"/>
      <w:pPr>
        <w:ind w:left="5496" w:hanging="360"/>
      </w:pPr>
      <w:rPr>
        <w:rFonts w:ascii="Symbol" w:hAnsi="Symbol" w:hint="default"/>
      </w:rPr>
    </w:lvl>
    <w:lvl w:ilvl="4" w:tplc="04090003">
      <w:start w:val="1"/>
      <w:numFmt w:val="bullet"/>
      <w:lvlText w:val="o"/>
      <w:lvlJc w:val="left"/>
      <w:pPr>
        <w:ind w:left="6216" w:hanging="360"/>
      </w:pPr>
      <w:rPr>
        <w:rFonts w:ascii="Courier New" w:hAnsi="Courier New" w:cs="Courier New" w:hint="default"/>
      </w:rPr>
    </w:lvl>
    <w:lvl w:ilvl="5" w:tplc="04090005">
      <w:start w:val="1"/>
      <w:numFmt w:val="bullet"/>
      <w:lvlText w:val=""/>
      <w:lvlJc w:val="left"/>
      <w:pPr>
        <w:ind w:left="6936" w:hanging="360"/>
      </w:pPr>
      <w:rPr>
        <w:rFonts w:ascii="Wingdings" w:hAnsi="Wingdings" w:hint="default"/>
      </w:rPr>
    </w:lvl>
    <w:lvl w:ilvl="6" w:tplc="04090001">
      <w:start w:val="1"/>
      <w:numFmt w:val="bullet"/>
      <w:lvlText w:val=""/>
      <w:lvlJc w:val="left"/>
      <w:pPr>
        <w:ind w:left="7656" w:hanging="360"/>
      </w:pPr>
      <w:rPr>
        <w:rFonts w:ascii="Symbol" w:hAnsi="Symbol" w:hint="default"/>
      </w:rPr>
    </w:lvl>
    <w:lvl w:ilvl="7" w:tplc="04090003">
      <w:start w:val="1"/>
      <w:numFmt w:val="bullet"/>
      <w:lvlText w:val="o"/>
      <w:lvlJc w:val="left"/>
      <w:pPr>
        <w:ind w:left="8376" w:hanging="360"/>
      </w:pPr>
      <w:rPr>
        <w:rFonts w:ascii="Courier New" w:hAnsi="Courier New" w:cs="Courier New" w:hint="default"/>
      </w:rPr>
    </w:lvl>
    <w:lvl w:ilvl="8" w:tplc="04090005">
      <w:start w:val="1"/>
      <w:numFmt w:val="bullet"/>
      <w:lvlText w:val=""/>
      <w:lvlJc w:val="left"/>
      <w:pPr>
        <w:ind w:left="9096" w:hanging="360"/>
      </w:pPr>
      <w:rPr>
        <w:rFonts w:ascii="Wingdings" w:hAnsi="Wingdings" w:hint="default"/>
      </w:rPr>
    </w:lvl>
  </w:abstractNum>
  <w:abstractNum w:abstractNumId="41" w15:restartNumberingAfterBreak="0">
    <w:nsid w:val="7B1F1F6F"/>
    <w:multiLevelType w:val="hybridMultilevel"/>
    <w:tmpl w:val="52BEDAB2"/>
    <w:lvl w:ilvl="0" w:tplc="04020009">
      <w:start w:val="1"/>
      <w:numFmt w:val="bullet"/>
      <w:lvlText w:val=""/>
      <w:lvlJc w:val="left"/>
      <w:pPr>
        <w:ind w:left="862" w:hanging="360"/>
      </w:pPr>
      <w:rPr>
        <w:rFonts w:ascii="Wingdings" w:hAnsi="Wingdings" w:hint="default"/>
      </w:rPr>
    </w:lvl>
    <w:lvl w:ilvl="1" w:tplc="04020003">
      <w:start w:val="1"/>
      <w:numFmt w:val="bullet"/>
      <w:lvlText w:val="o"/>
      <w:lvlJc w:val="left"/>
      <w:pPr>
        <w:ind w:left="1582" w:hanging="360"/>
      </w:pPr>
      <w:rPr>
        <w:rFonts w:ascii="Courier New" w:hAnsi="Courier New" w:cs="Courier New" w:hint="default"/>
      </w:rPr>
    </w:lvl>
    <w:lvl w:ilvl="2" w:tplc="04020005">
      <w:start w:val="1"/>
      <w:numFmt w:val="bullet"/>
      <w:lvlText w:val=""/>
      <w:lvlJc w:val="left"/>
      <w:pPr>
        <w:ind w:left="2302" w:hanging="360"/>
      </w:pPr>
      <w:rPr>
        <w:rFonts w:ascii="Wingdings" w:hAnsi="Wingdings" w:hint="default"/>
      </w:rPr>
    </w:lvl>
    <w:lvl w:ilvl="3" w:tplc="04020001">
      <w:start w:val="1"/>
      <w:numFmt w:val="bullet"/>
      <w:lvlText w:val=""/>
      <w:lvlJc w:val="left"/>
      <w:pPr>
        <w:ind w:left="3022" w:hanging="360"/>
      </w:pPr>
      <w:rPr>
        <w:rFonts w:ascii="Symbol" w:hAnsi="Symbol" w:hint="default"/>
      </w:rPr>
    </w:lvl>
    <w:lvl w:ilvl="4" w:tplc="04020003">
      <w:start w:val="1"/>
      <w:numFmt w:val="bullet"/>
      <w:lvlText w:val="o"/>
      <w:lvlJc w:val="left"/>
      <w:pPr>
        <w:ind w:left="3742" w:hanging="360"/>
      </w:pPr>
      <w:rPr>
        <w:rFonts w:ascii="Courier New" w:hAnsi="Courier New" w:cs="Courier New" w:hint="default"/>
      </w:rPr>
    </w:lvl>
    <w:lvl w:ilvl="5" w:tplc="04020005">
      <w:start w:val="1"/>
      <w:numFmt w:val="bullet"/>
      <w:lvlText w:val=""/>
      <w:lvlJc w:val="left"/>
      <w:pPr>
        <w:ind w:left="4462" w:hanging="360"/>
      </w:pPr>
      <w:rPr>
        <w:rFonts w:ascii="Wingdings" w:hAnsi="Wingdings" w:hint="default"/>
      </w:rPr>
    </w:lvl>
    <w:lvl w:ilvl="6" w:tplc="04020001">
      <w:start w:val="1"/>
      <w:numFmt w:val="bullet"/>
      <w:lvlText w:val=""/>
      <w:lvlJc w:val="left"/>
      <w:pPr>
        <w:ind w:left="5182" w:hanging="360"/>
      </w:pPr>
      <w:rPr>
        <w:rFonts w:ascii="Symbol" w:hAnsi="Symbol" w:hint="default"/>
      </w:rPr>
    </w:lvl>
    <w:lvl w:ilvl="7" w:tplc="04020003">
      <w:start w:val="1"/>
      <w:numFmt w:val="bullet"/>
      <w:lvlText w:val="o"/>
      <w:lvlJc w:val="left"/>
      <w:pPr>
        <w:ind w:left="5902" w:hanging="360"/>
      </w:pPr>
      <w:rPr>
        <w:rFonts w:ascii="Courier New" w:hAnsi="Courier New" w:cs="Courier New" w:hint="default"/>
      </w:rPr>
    </w:lvl>
    <w:lvl w:ilvl="8" w:tplc="04020005">
      <w:start w:val="1"/>
      <w:numFmt w:val="bullet"/>
      <w:lvlText w:val=""/>
      <w:lvlJc w:val="left"/>
      <w:pPr>
        <w:ind w:left="6622" w:hanging="360"/>
      </w:pPr>
      <w:rPr>
        <w:rFonts w:ascii="Wingdings" w:hAnsi="Wingdings" w:hint="default"/>
      </w:rPr>
    </w:lvl>
  </w:abstractNum>
  <w:abstractNum w:abstractNumId="42" w15:restartNumberingAfterBreak="0">
    <w:nsid w:val="7DCF31EC"/>
    <w:multiLevelType w:val="hybridMultilevel"/>
    <w:tmpl w:val="4BA6851A"/>
    <w:lvl w:ilvl="0" w:tplc="04020009">
      <w:start w:val="1"/>
      <w:numFmt w:val="bullet"/>
      <w:lvlText w:val=""/>
      <w:lvlJc w:val="left"/>
      <w:pPr>
        <w:ind w:left="786" w:hanging="360"/>
      </w:pPr>
      <w:rPr>
        <w:rFonts w:ascii="Wingdings" w:hAnsi="Wingdings"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43" w15:restartNumberingAfterBreak="0">
    <w:nsid w:val="7E55575A"/>
    <w:multiLevelType w:val="hybridMultilevel"/>
    <w:tmpl w:val="CDCE0B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F4F5913"/>
    <w:multiLevelType w:val="hybridMultilevel"/>
    <w:tmpl w:val="F1A252D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4"/>
  </w:num>
  <w:num w:numId="2">
    <w:abstractNumId w:val="42"/>
  </w:num>
  <w:num w:numId="3">
    <w:abstractNumId w:val="10"/>
  </w:num>
  <w:num w:numId="4">
    <w:abstractNumId w:val="6"/>
  </w:num>
  <w:num w:numId="5">
    <w:abstractNumId w:val="24"/>
  </w:num>
  <w:num w:numId="6">
    <w:abstractNumId w:val="40"/>
  </w:num>
  <w:num w:numId="7">
    <w:abstractNumId w:val="29"/>
  </w:num>
  <w:num w:numId="8">
    <w:abstractNumId w:val="41"/>
  </w:num>
  <w:num w:numId="9">
    <w:abstractNumId w:val="21"/>
  </w:num>
  <w:num w:numId="10">
    <w:abstractNumId w:val="36"/>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13"/>
  </w:num>
  <w:num w:numId="15">
    <w:abstractNumId w:val="18"/>
  </w:num>
  <w:num w:numId="16">
    <w:abstractNumId w:val="33"/>
  </w:num>
  <w:num w:numId="17">
    <w:abstractNumId w:val="35"/>
  </w:num>
  <w:num w:numId="18">
    <w:abstractNumId w:val="4"/>
  </w:num>
  <w:num w:numId="19">
    <w:abstractNumId w:val="10"/>
  </w:num>
  <w:num w:numId="20">
    <w:abstractNumId w:val="5"/>
  </w:num>
  <w:num w:numId="21">
    <w:abstractNumId w:val="8"/>
  </w:num>
  <w:num w:numId="22">
    <w:abstractNumId w:val="43"/>
  </w:num>
  <w:num w:numId="23">
    <w:abstractNumId w:val="23"/>
  </w:num>
  <w:num w:numId="24">
    <w:abstractNumId w:val="22"/>
  </w:num>
  <w:num w:numId="25">
    <w:abstractNumId w:val="15"/>
  </w:num>
  <w:num w:numId="26">
    <w:abstractNumId w:val="17"/>
  </w:num>
  <w:num w:numId="27">
    <w:abstractNumId w:val="16"/>
  </w:num>
  <w:num w:numId="28">
    <w:abstractNumId w:val="14"/>
  </w:num>
  <w:num w:numId="29">
    <w:abstractNumId w:val="3"/>
  </w:num>
  <w:num w:numId="30">
    <w:abstractNumId w:val="0"/>
  </w:num>
  <w:num w:numId="31">
    <w:abstractNumId w:val="27"/>
  </w:num>
  <w:num w:numId="32">
    <w:abstractNumId w:val="28"/>
  </w:num>
  <w:num w:numId="33">
    <w:abstractNumId w:val="31"/>
  </w:num>
  <w:num w:numId="34">
    <w:abstractNumId w:val="34"/>
  </w:num>
  <w:num w:numId="35">
    <w:abstractNumId w:val="39"/>
  </w:num>
  <w:num w:numId="36">
    <w:abstractNumId w:val="7"/>
  </w:num>
  <w:num w:numId="37">
    <w:abstractNumId w:val="12"/>
  </w:num>
  <w:num w:numId="38">
    <w:abstractNumId w:val="20"/>
  </w:num>
  <w:num w:numId="39">
    <w:abstractNumId w:val="2"/>
  </w:num>
  <w:num w:numId="40">
    <w:abstractNumId w:val="9"/>
  </w:num>
  <w:num w:numId="41">
    <w:abstractNumId w:val="1"/>
  </w:num>
  <w:num w:numId="42">
    <w:abstractNumId w:val="44"/>
  </w:num>
  <w:num w:numId="43">
    <w:abstractNumId w:val="32"/>
  </w:num>
  <w:num w:numId="44">
    <w:abstractNumId w:val="26"/>
  </w:num>
  <w:num w:numId="45">
    <w:abstractNumId w:val="30"/>
  </w:num>
  <w:num w:numId="46">
    <w:abstractNumId w:val="11"/>
  </w:num>
  <w:num w:numId="47">
    <w:abstractNumId w:val="38"/>
  </w:num>
  <w:num w:numId="48">
    <w:abstractNumId w:val="25"/>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94"/>
    <w:rsid w:val="00021D9D"/>
    <w:rsid w:val="00025E7B"/>
    <w:rsid w:val="00030F08"/>
    <w:rsid w:val="00036305"/>
    <w:rsid w:val="00037A27"/>
    <w:rsid w:val="00044621"/>
    <w:rsid w:val="0005793B"/>
    <w:rsid w:val="00057AAC"/>
    <w:rsid w:val="0006340B"/>
    <w:rsid w:val="000671FF"/>
    <w:rsid w:val="00091A7B"/>
    <w:rsid w:val="000937F7"/>
    <w:rsid w:val="000A5F03"/>
    <w:rsid w:val="000B2527"/>
    <w:rsid w:val="000B43CE"/>
    <w:rsid w:val="000C4DF1"/>
    <w:rsid w:val="000C54E1"/>
    <w:rsid w:val="000D7676"/>
    <w:rsid w:val="000E3359"/>
    <w:rsid w:val="000E4C27"/>
    <w:rsid w:val="000F509B"/>
    <w:rsid w:val="000F7582"/>
    <w:rsid w:val="00111723"/>
    <w:rsid w:val="0011480D"/>
    <w:rsid w:val="00114DB9"/>
    <w:rsid w:val="0012275E"/>
    <w:rsid w:val="00122AD4"/>
    <w:rsid w:val="001257A9"/>
    <w:rsid w:val="001257B1"/>
    <w:rsid w:val="00132E43"/>
    <w:rsid w:val="00134352"/>
    <w:rsid w:val="00143C67"/>
    <w:rsid w:val="0015019F"/>
    <w:rsid w:val="00150B69"/>
    <w:rsid w:val="00150D4D"/>
    <w:rsid w:val="00152716"/>
    <w:rsid w:val="00154020"/>
    <w:rsid w:val="00160025"/>
    <w:rsid w:val="00165726"/>
    <w:rsid w:val="00175874"/>
    <w:rsid w:val="0017593B"/>
    <w:rsid w:val="00177A51"/>
    <w:rsid w:val="001813AA"/>
    <w:rsid w:val="00183E78"/>
    <w:rsid w:val="001938CD"/>
    <w:rsid w:val="00194AEC"/>
    <w:rsid w:val="001A0BB2"/>
    <w:rsid w:val="001A155F"/>
    <w:rsid w:val="001A62E7"/>
    <w:rsid w:val="001B71D9"/>
    <w:rsid w:val="001C0DB2"/>
    <w:rsid w:val="001C5137"/>
    <w:rsid w:val="001D7F08"/>
    <w:rsid w:val="00200BBE"/>
    <w:rsid w:val="002018D7"/>
    <w:rsid w:val="002036C0"/>
    <w:rsid w:val="00203DB0"/>
    <w:rsid w:val="00205668"/>
    <w:rsid w:val="00206403"/>
    <w:rsid w:val="00221432"/>
    <w:rsid w:val="0023379F"/>
    <w:rsid w:val="00237BF5"/>
    <w:rsid w:val="002438EB"/>
    <w:rsid w:val="00246756"/>
    <w:rsid w:val="00251CD2"/>
    <w:rsid w:val="00251E29"/>
    <w:rsid w:val="00266102"/>
    <w:rsid w:val="002663AA"/>
    <w:rsid w:val="00266C28"/>
    <w:rsid w:val="0027135C"/>
    <w:rsid w:val="00274201"/>
    <w:rsid w:val="00281B05"/>
    <w:rsid w:val="002838B1"/>
    <w:rsid w:val="0028573B"/>
    <w:rsid w:val="00285BB6"/>
    <w:rsid w:val="00287B60"/>
    <w:rsid w:val="00297BBB"/>
    <w:rsid w:val="002A2A80"/>
    <w:rsid w:val="002A3CF2"/>
    <w:rsid w:val="002A7A8A"/>
    <w:rsid w:val="002C1603"/>
    <w:rsid w:val="002C6B5F"/>
    <w:rsid w:val="002D6B8A"/>
    <w:rsid w:val="00304597"/>
    <w:rsid w:val="00305FEC"/>
    <w:rsid w:val="00312B62"/>
    <w:rsid w:val="0032359A"/>
    <w:rsid w:val="0032526E"/>
    <w:rsid w:val="003360BE"/>
    <w:rsid w:val="003369A2"/>
    <w:rsid w:val="0034254D"/>
    <w:rsid w:val="003800D2"/>
    <w:rsid w:val="0038427C"/>
    <w:rsid w:val="00387DCB"/>
    <w:rsid w:val="00393703"/>
    <w:rsid w:val="003A2400"/>
    <w:rsid w:val="003A5204"/>
    <w:rsid w:val="003A6556"/>
    <w:rsid w:val="003A75CA"/>
    <w:rsid w:val="003B381F"/>
    <w:rsid w:val="003B6917"/>
    <w:rsid w:val="003C3BBC"/>
    <w:rsid w:val="003C4A93"/>
    <w:rsid w:val="003C5C40"/>
    <w:rsid w:val="003C6FC1"/>
    <w:rsid w:val="003C7468"/>
    <w:rsid w:val="003D3355"/>
    <w:rsid w:val="003D58EC"/>
    <w:rsid w:val="003D7443"/>
    <w:rsid w:val="00400197"/>
    <w:rsid w:val="00400A95"/>
    <w:rsid w:val="00406D5A"/>
    <w:rsid w:val="00423A1B"/>
    <w:rsid w:val="00437BE2"/>
    <w:rsid w:val="0044285B"/>
    <w:rsid w:val="0044293A"/>
    <w:rsid w:val="004440D1"/>
    <w:rsid w:val="00447705"/>
    <w:rsid w:val="00453212"/>
    <w:rsid w:val="004635A4"/>
    <w:rsid w:val="0046478A"/>
    <w:rsid w:val="00464A6C"/>
    <w:rsid w:val="00466566"/>
    <w:rsid w:val="00466B2D"/>
    <w:rsid w:val="0047110E"/>
    <w:rsid w:val="00472A57"/>
    <w:rsid w:val="00473541"/>
    <w:rsid w:val="00474957"/>
    <w:rsid w:val="00477C49"/>
    <w:rsid w:val="0048005A"/>
    <w:rsid w:val="00481E6C"/>
    <w:rsid w:val="0048344A"/>
    <w:rsid w:val="00484DD3"/>
    <w:rsid w:val="00487CCA"/>
    <w:rsid w:val="00496987"/>
    <w:rsid w:val="004A01D8"/>
    <w:rsid w:val="004A34CF"/>
    <w:rsid w:val="004B1156"/>
    <w:rsid w:val="004B4A09"/>
    <w:rsid w:val="004C5284"/>
    <w:rsid w:val="004D408B"/>
    <w:rsid w:val="004D4304"/>
    <w:rsid w:val="004D4C5E"/>
    <w:rsid w:val="004D7985"/>
    <w:rsid w:val="004D7D09"/>
    <w:rsid w:val="004E1491"/>
    <w:rsid w:val="004E1501"/>
    <w:rsid w:val="004E46C4"/>
    <w:rsid w:val="004F34C7"/>
    <w:rsid w:val="004F6C3C"/>
    <w:rsid w:val="00500DD6"/>
    <w:rsid w:val="00503A65"/>
    <w:rsid w:val="00506CE2"/>
    <w:rsid w:val="00510BE2"/>
    <w:rsid w:val="0051334B"/>
    <w:rsid w:val="00515959"/>
    <w:rsid w:val="005236AA"/>
    <w:rsid w:val="005239AA"/>
    <w:rsid w:val="00523D05"/>
    <w:rsid w:val="00523F66"/>
    <w:rsid w:val="00543821"/>
    <w:rsid w:val="00543EEE"/>
    <w:rsid w:val="00545C88"/>
    <w:rsid w:val="00546264"/>
    <w:rsid w:val="00552760"/>
    <w:rsid w:val="00557657"/>
    <w:rsid w:val="00563D52"/>
    <w:rsid w:val="00566DF6"/>
    <w:rsid w:val="00566E20"/>
    <w:rsid w:val="00570909"/>
    <w:rsid w:val="0057607B"/>
    <w:rsid w:val="00576E21"/>
    <w:rsid w:val="005800E3"/>
    <w:rsid w:val="00586895"/>
    <w:rsid w:val="005936AC"/>
    <w:rsid w:val="00597D82"/>
    <w:rsid w:val="005A3D43"/>
    <w:rsid w:val="005A4130"/>
    <w:rsid w:val="005A4247"/>
    <w:rsid w:val="005B2DA2"/>
    <w:rsid w:val="005D0BCB"/>
    <w:rsid w:val="005D65D2"/>
    <w:rsid w:val="005E5060"/>
    <w:rsid w:val="005F1C91"/>
    <w:rsid w:val="0060055F"/>
    <w:rsid w:val="00607174"/>
    <w:rsid w:val="006166FD"/>
    <w:rsid w:val="00620E3E"/>
    <w:rsid w:val="00627668"/>
    <w:rsid w:val="006341C7"/>
    <w:rsid w:val="00634994"/>
    <w:rsid w:val="00643905"/>
    <w:rsid w:val="00644AB0"/>
    <w:rsid w:val="00645346"/>
    <w:rsid w:val="00651101"/>
    <w:rsid w:val="0065742D"/>
    <w:rsid w:val="006646D4"/>
    <w:rsid w:val="00667C69"/>
    <w:rsid w:val="00673F00"/>
    <w:rsid w:val="00685C99"/>
    <w:rsid w:val="006A0DD7"/>
    <w:rsid w:val="006A1470"/>
    <w:rsid w:val="006B0C63"/>
    <w:rsid w:val="006B2D3F"/>
    <w:rsid w:val="006B4247"/>
    <w:rsid w:val="006C295F"/>
    <w:rsid w:val="006C3C8B"/>
    <w:rsid w:val="006E04DC"/>
    <w:rsid w:val="006E1766"/>
    <w:rsid w:val="006E1FF8"/>
    <w:rsid w:val="00704AE0"/>
    <w:rsid w:val="007059E0"/>
    <w:rsid w:val="00711473"/>
    <w:rsid w:val="00711A1A"/>
    <w:rsid w:val="0072022A"/>
    <w:rsid w:val="00730362"/>
    <w:rsid w:val="00742432"/>
    <w:rsid w:val="00754B8D"/>
    <w:rsid w:val="00755C6C"/>
    <w:rsid w:val="00761364"/>
    <w:rsid w:val="0076440A"/>
    <w:rsid w:val="007657C0"/>
    <w:rsid w:val="007718AA"/>
    <w:rsid w:val="007879EC"/>
    <w:rsid w:val="00794DB6"/>
    <w:rsid w:val="007964EF"/>
    <w:rsid w:val="007973A3"/>
    <w:rsid w:val="007B05F6"/>
    <w:rsid w:val="007B26E1"/>
    <w:rsid w:val="007B28D8"/>
    <w:rsid w:val="007C3B70"/>
    <w:rsid w:val="007C52B6"/>
    <w:rsid w:val="007D0489"/>
    <w:rsid w:val="007E51FF"/>
    <w:rsid w:val="007F2E11"/>
    <w:rsid w:val="007F37A5"/>
    <w:rsid w:val="007F62C2"/>
    <w:rsid w:val="008008FE"/>
    <w:rsid w:val="00804449"/>
    <w:rsid w:val="0080488B"/>
    <w:rsid w:val="0081046E"/>
    <w:rsid w:val="00815092"/>
    <w:rsid w:val="008167D8"/>
    <w:rsid w:val="00820FA6"/>
    <w:rsid w:val="0082684F"/>
    <w:rsid w:val="0083707B"/>
    <w:rsid w:val="00840DEB"/>
    <w:rsid w:val="0085582F"/>
    <w:rsid w:val="008563E9"/>
    <w:rsid w:val="0086639F"/>
    <w:rsid w:val="00867888"/>
    <w:rsid w:val="008702F8"/>
    <w:rsid w:val="00870A92"/>
    <w:rsid w:val="00877D72"/>
    <w:rsid w:val="00885722"/>
    <w:rsid w:val="0088685C"/>
    <w:rsid w:val="00891043"/>
    <w:rsid w:val="008941D1"/>
    <w:rsid w:val="00895A6A"/>
    <w:rsid w:val="00897EF1"/>
    <w:rsid w:val="008A2061"/>
    <w:rsid w:val="008A501B"/>
    <w:rsid w:val="008A5A19"/>
    <w:rsid w:val="008A6358"/>
    <w:rsid w:val="008B1053"/>
    <w:rsid w:val="008B651E"/>
    <w:rsid w:val="008C4AD2"/>
    <w:rsid w:val="008D5817"/>
    <w:rsid w:val="008D5C1A"/>
    <w:rsid w:val="008D61D3"/>
    <w:rsid w:val="008D7DFB"/>
    <w:rsid w:val="008E1620"/>
    <w:rsid w:val="008E7A03"/>
    <w:rsid w:val="008F03E4"/>
    <w:rsid w:val="008F1F58"/>
    <w:rsid w:val="009026DD"/>
    <w:rsid w:val="00907528"/>
    <w:rsid w:val="00912E25"/>
    <w:rsid w:val="00920FAA"/>
    <w:rsid w:val="009233DF"/>
    <w:rsid w:val="00932BDC"/>
    <w:rsid w:val="009370AE"/>
    <w:rsid w:val="0093768B"/>
    <w:rsid w:val="0093784A"/>
    <w:rsid w:val="009448F9"/>
    <w:rsid w:val="009526D2"/>
    <w:rsid w:val="00952E84"/>
    <w:rsid w:val="00962A81"/>
    <w:rsid w:val="00966BE2"/>
    <w:rsid w:val="00974377"/>
    <w:rsid w:val="00977077"/>
    <w:rsid w:val="00981DBA"/>
    <w:rsid w:val="00985A1D"/>
    <w:rsid w:val="009970DC"/>
    <w:rsid w:val="009A6C7C"/>
    <w:rsid w:val="009B1E3C"/>
    <w:rsid w:val="009B3A69"/>
    <w:rsid w:val="009B7F2C"/>
    <w:rsid w:val="009C4C96"/>
    <w:rsid w:val="009C5608"/>
    <w:rsid w:val="009C76CA"/>
    <w:rsid w:val="009D2DEC"/>
    <w:rsid w:val="009D7C7A"/>
    <w:rsid w:val="009F2628"/>
    <w:rsid w:val="00A04A04"/>
    <w:rsid w:val="00A117B7"/>
    <w:rsid w:val="00A14BE7"/>
    <w:rsid w:val="00A1627A"/>
    <w:rsid w:val="00A225A1"/>
    <w:rsid w:val="00A37AE7"/>
    <w:rsid w:val="00A41E63"/>
    <w:rsid w:val="00A542CB"/>
    <w:rsid w:val="00A5579A"/>
    <w:rsid w:val="00A6713C"/>
    <w:rsid w:val="00A70ABB"/>
    <w:rsid w:val="00A7279D"/>
    <w:rsid w:val="00A80BBA"/>
    <w:rsid w:val="00A9511E"/>
    <w:rsid w:val="00AA2D69"/>
    <w:rsid w:val="00AA5D8E"/>
    <w:rsid w:val="00AA617E"/>
    <w:rsid w:val="00AB1339"/>
    <w:rsid w:val="00AB3CB6"/>
    <w:rsid w:val="00AB65E9"/>
    <w:rsid w:val="00AC24B0"/>
    <w:rsid w:val="00AD20FF"/>
    <w:rsid w:val="00AE08B2"/>
    <w:rsid w:val="00AE5021"/>
    <w:rsid w:val="00AE64BF"/>
    <w:rsid w:val="00AE6EA9"/>
    <w:rsid w:val="00B046AB"/>
    <w:rsid w:val="00B1781D"/>
    <w:rsid w:val="00B20862"/>
    <w:rsid w:val="00B2129D"/>
    <w:rsid w:val="00B21303"/>
    <w:rsid w:val="00B21CAC"/>
    <w:rsid w:val="00B274EC"/>
    <w:rsid w:val="00B42DE0"/>
    <w:rsid w:val="00B45479"/>
    <w:rsid w:val="00B46623"/>
    <w:rsid w:val="00B53F4F"/>
    <w:rsid w:val="00B54809"/>
    <w:rsid w:val="00B71992"/>
    <w:rsid w:val="00B83171"/>
    <w:rsid w:val="00B84BB7"/>
    <w:rsid w:val="00B86954"/>
    <w:rsid w:val="00B9344B"/>
    <w:rsid w:val="00B9578A"/>
    <w:rsid w:val="00B95AAC"/>
    <w:rsid w:val="00B96A2F"/>
    <w:rsid w:val="00BB1996"/>
    <w:rsid w:val="00BC0999"/>
    <w:rsid w:val="00BC1016"/>
    <w:rsid w:val="00BC3069"/>
    <w:rsid w:val="00BC4D32"/>
    <w:rsid w:val="00BD0A26"/>
    <w:rsid w:val="00BE561E"/>
    <w:rsid w:val="00BF71B1"/>
    <w:rsid w:val="00C01536"/>
    <w:rsid w:val="00C03988"/>
    <w:rsid w:val="00C03D97"/>
    <w:rsid w:val="00C233D6"/>
    <w:rsid w:val="00C24FD0"/>
    <w:rsid w:val="00C302B6"/>
    <w:rsid w:val="00C3792F"/>
    <w:rsid w:val="00C43043"/>
    <w:rsid w:val="00C4741B"/>
    <w:rsid w:val="00C5243F"/>
    <w:rsid w:val="00C6222F"/>
    <w:rsid w:val="00C633D4"/>
    <w:rsid w:val="00C64F77"/>
    <w:rsid w:val="00C65B2A"/>
    <w:rsid w:val="00C74CEE"/>
    <w:rsid w:val="00C802CE"/>
    <w:rsid w:val="00C92D8A"/>
    <w:rsid w:val="00C92E97"/>
    <w:rsid w:val="00CA6423"/>
    <w:rsid w:val="00CA7FE2"/>
    <w:rsid w:val="00CB3EF8"/>
    <w:rsid w:val="00CB4CE3"/>
    <w:rsid w:val="00CB5FD4"/>
    <w:rsid w:val="00CC4C66"/>
    <w:rsid w:val="00CD14C6"/>
    <w:rsid w:val="00CD50F7"/>
    <w:rsid w:val="00D01D82"/>
    <w:rsid w:val="00D021A9"/>
    <w:rsid w:val="00D03D3B"/>
    <w:rsid w:val="00D05A56"/>
    <w:rsid w:val="00D10FF9"/>
    <w:rsid w:val="00D12D18"/>
    <w:rsid w:val="00D20F6C"/>
    <w:rsid w:val="00D34D6A"/>
    <w:rsid w:val="00D41F87"/>
    <w:rsid w:val="00D4656A"/>
    <w:rsid w:val="00D72C88"/>
    <w:rsid w:val="00D762D4"/>
    <w:rsid w:val="00D90D91"/>
    <w:rsid w:val="00D910D6"/>
    <w:rsid w:val="00D96729"/>
    <w:rsid w:val="00DB047E"/>
    <w:rsid w:val="00DB258D"/>
    <w:rsid w:val="00DB269E"/>
    <w:rsid w:val="00DC1B19"/>
    <w:rsid w:val="00DC4888"/>
    <w:rsid w:val="00DC6346"/>
    <w:rsid w:val="00DD47D3"/>
    <w:rsid w:val="00DD54BA"/>
    <w:rsid w:val="00DD5B36"/>
    <w:rsid w:val="00DE66B6"/>
    <w:rsid w:val="00DF03A6"/>
    <w:rsid w:val="00E04F8E"/>
    <w:rsid w:val="00E11F76"/>
    <w:rsid w:val="00E12A19"/>
    <w:rsid w:val="00E1324C"/>
    <w:rsid w:val="00E30400"/>
    <w:rsid w:val="00E3619F"/>
    <w:rsid w:val="00E4120C"/>
    <w:rsid w:val="00E518E2"/>
    <w:rsid w:val="00E56A76"/>
    <w:rsid w:val="00E574C9"/>
    <w:rsid w:val="00E706D4"/>
    <w:rsid w:val="00E7400A"/>
    <w:rsid w:val="00E76FDB"/>
    <w:rsid w:val="00E96836"/>
    <w:rsid w:val="00EA00BB"/>
    <w:rsid w:val="00EA058F"/>
    <w:rsid w:val="00EA093A"/>
    <w:rsid w:val="00EA2A45"/>
    <w:rsid w:val="00EB7239"/>
    <w:rsid w:val="00EC4FBD"/>
    <w:rsid w:val="00EC7587"/>
    <w:rsid w:val="00ED4E17"/>
    <w:rsid w:val="00ED64C0"/>
    <w:rsid w:val="00ED67DC"/>
    <w:rsid w:val="00ED6A08"/>
    <w:rsid w:val="00EF092A"/>
    <w:rsid w:val="00EF2037"/>
    <w:rsid w:val="00EF2717"/>
    <w:rsid w:val="00F009A3"/>
    <w:rsid w:val="00F3243E"/>
    <w:rsid w:val="00F3548F"/>
    <w:rsid w:val="00F435F5"/>
    <w:rsid w:val="00F45006"/>
    <w:rsid w:val="00F477C2"/>
    <w:rsid w:val="00F500A6"/>
    <w:rsid w:val="00F56C19"/>
    <w:rsid w:val="00F570CC"/>
    <w:rsid w:val="00F6086C"/>
    <w:rsid w:val="00F61929"/>
    <w:rsid w:val="00F6360A"/>
    <w:rsid w:val="00F645AD"/>
    <w:rsid w:val="00F706BC"/>
    <w:rsid w:val="00F7776F"/>
    <w:rsid w:val="00F963F0"/>
    <w:rsid w:val="00FA7525"/>
    <w:rsid w:val="00FB19EB"/>
    <w:rsid w:val="00FB45DC"/>
    <w:rsid w:val="00FB7842"/>
    <w:rsid w:val="00FC408A"/>
    <w:rsid w:val="00FC6A9E"/>
    <w:rsid w:val="00FC7FB7"/>
    <w:rsid w:val="00FD384D"/>
    <w:rsid w:val="00FD5847"/>
    <w:rsid w:val="00FD761D"/>
    <w:rsid w:val="00FE5775"/>
    <w:rsid w:val="00FE58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9353E5-7233-4B17-9C2A-78038088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257B1"/>
    <w:pPr>
      <w:spacing w:after="280" w:line="280" w:lineRule="atLeast"/>
    </w:pPr>
    <w:rPr>
      <w:rFonts w:ascii="Times New Roman" w:eastAsia="Times New Roman" w:hAnsi="Times New Roman" w:cs="Times New Roman"/>
      <w:bCs/>
      <w:color w:val="0A55A3"/>
      <w:sz w:val="42"/>
      <w:szCs w:val="32"/>
      <w:lang w:val="x-none"/>
    </w:rPr>
  </w:style>
  <w:style w:type="character" w:customStyle="1" w:styleId="TitleChar">
    <w:name w:val="Title Char"/>
    <w:basedOn w:val="DefaultParagraphFont"/>
    <w:link w:val="Title"/>
    <w:rsid w:val="001257B1"/>
    <w:rPr>
      <w:rFonts w:ascii="Times New Roman" w:eastAsia="Times New Roman" w:hAnsi="Times New Roman" w:cs="Times New Roman"/>
      <w:bCs/>
      <w:color w:val="0A55A3"/>
      <w:sz w:val="42"/>
      <w:szCs w:val="32"/>
      <w:lang w:val="x-none"/>
    </w:rPr>
  </w:style>
  <w:style w:type="paragraph" w:styleId="BodyText">
    <w:name w:val="Body Text"/>
    <w:basedOn w:val="Normal"/>
    <w:link w:val="BodyTextChar"/>
    <w:unhideWhenUsed/>
    <w:rsid w:val="00BC306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rsid w:val="00BC3069"/>
    <w:rPr>
      <w:rFonts w:ascii="Times New Roman" w:eastAsia="Times New Roman" w:hAnsi="Times New Roman" w:cs="Times New Roman"/>
      <w:szCs w:val="24"/>
      <w:lang w:val="en-US"/>
    </w:rPr>
  </w:style>
  <w:style w:type="character" w:customStyle="1" w:styleId="ListParagraphChar">
    <w:name w:val="List Paragraph Char"/>
    <w:link w:val="ListParagraph"/>
    <w:locked/>
    <w:rsid w:val="00BC3069"/>
    <w:rPr>
      <w:sz w:val="24"/>
      <w:szCs w:val="24"/>
    </w:rPr>
  </w:style>
  <w:style w:type="paragraph" w:styleId="ListParagraph">
    <w:name w:val="List Paragraph"/>
    <w:basedOn w:val="Normal"/>
    <w:link w:val="ListParagraphChar"/>
    <w:uiPriority w:val="34"/>
    <w:qFormat/>
    <w:rsid w:val="00BC3069"/>
    <w:pPr>
      <w:spacing w:after="0" w:line="240" w:lineRule="auto"/>
      <w:ind w:left="708"/>
    </w:pPr>
    <w:rPr>
      <w:sz w:val="24"/>
      <w:szCs w:val="24"/>
    </w:rPr>
  </w:style>
  <w:style w:type="paragraph" w:styleId="Header">
    <w:name w:val="header"/>
    <w:basedOn w:val="Normal"/>
    <w:link w:val="HeaderChar"/>
    <w:uiPriority w:val="99"/>
    <w:unhideWhenUsed/>
    <w:rsid w:val="004749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4957"/>
  </w:style>
  <w:style w:type="paragraph" w:styleId="Footer">
    <w:name w:val="footer"/>
    <w:basedOn w:val="Normal"/>
    <w:link w:val="FooterChar"/>
    <w:uiPriority w:val="99"/>
    <w:unhideWhenUsed/>
    <w:rsid w:val="004749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4957"/>
  </w:style>
  <w:style w:type="character" w:styleId="Hyperlink">
    <w:name w:val="Hyperlink"/>
    <w:uiPriority w:val="99"/>
    <w:unhideWhenUsed/>
    <w:rsid w:val="00044621"/>
    <w:rPr>
      <w:strike w:val="0"/>
      <w:dstrike w:val="0"/>
      <w:color w:val="000000"/>
      <w:u w:val="none"/>
      <w:effect w:val="none"/>
    </w:rPr>
  </w:style>
  <w:style w:type="paragraph" w:styleId="NormalWeb">
    <w:name w:val="Normal (Web)"/>
    <w:basedOn w:val="Normal"/>
    <w:uiPriority w:val="99"/>
    <w:unhideWhenUsed/>
    <w:rsid w:val="00044621"/>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styleId="Strong">
    <w:name w:val="Strong"/>
    <w:basedOn w:val="DefaultParagraphFont"/>
    <w:uiPriority w:val="22"/>
    <w:qFormat/>
    <w:rsid w:val="00132E43"/>
    <w:rPr>
      <w:b/>
      <w:bCs/>
    </w:rPr>
  </w:style>
  <w:style w:type="paragraph" w:styleId="FootnoteText">
    <w:name w:val="footnote text"/>
    <w:aliases w:val="fn,ALTS FOOTNOTE,fn Char,fn Char Char,fn Char Char Char Char Char Char,fn Char Char Char Char,fn Char Char Char Char Char Char Char Char,fn Char Char1 Char Char,Char Char Char Char Char,Char Char,fn Char Char1 Char,fn Char Char1 Char Cha"/>
    <w:basedOn w:val="Normal"/>
    <w:link w:val="FootnoteTextChar"/>
    <w:uiPriority w:val="99"/>
    <w:qFormat/>
    <w:rsid w:val="00205668"/>
    <w:pPr>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aliases w:val="fn Char1,ALTS FOOTNOTE Char,fn Char Char1,fn Char Char Char,fn Char Char Char Char Char Char Char,fn Char Char Char Char Char,fn Char Char Char Char Char Char Char Char Char,fn Char Char1 Char Char Char,Char Char Char Char Char Char"/>
    <w:basedOn w:val="DefaultParagraphFont"/>
    <w:link w:val="FootnoteText"/>
    <w:uiPriority w:val="99"/>
    <w:rsid w:val="00205668"/>
    <w:rPr>
      <w:rFonts w:ascii="Times New Roman" w:eastAsia="Times New Roman" w:hAnsi="Times New Roman" w:cs="Times New Roman"/>
      <w:sz w:val="20"/>
      <w:szCs w:val="20"/>
      <w:lang w:eastAsia="bg-BG"/>
    </w:rPr>
  </w:style>
  <w:style w:type="character" w:styleId="FootnoteReference">
    <w:name w:val="footnote reference"/>
    <w:aliases w:val="fr,(NECG) Footnote Reference,Appel note de bas de p,Footnote symbol,Footnote,SUPERS,Nota,Voetnootverwijzing,o,-E Fußnotenzeichen,FC,-E Fuﬂnotenzeichen,Ref,de nota al pie,Footnote number,-E Fuﾟnotenzeichen,Style 6,Style 20"/>
    <w:link w:val="ZFootnoteText"/>
    <w:uiPriority w:val="99"/>
    <w:qFormat/>
    <w:rsid w:val="00205668"/>
    <w:rPr>
      <w:vertAlign w:val="superscript"/>
    </w:rPr>
  </w:style>
  <w:style w:type="character" w:styleId="CommentReference">
    <w:name w:val="annotation reference"/>
    <w:basedOn w:val="DefaultParagraphFont"/>
    <w:uiPriority w:val="99"/>
    <w:semiHidden/>
    <w:unhideWhenUsed/>
    <w:rsid w:val="00C5243F"/>
    <w:rPr>
      <w:sz w:val="16"/>
      <w:szCs w:val="16"/>
    </w:rPr>
  </w:style>
  <w:style w:type="paragraph" w:styleId="CommentText">
    <w:name w:val="annotation text"/>
    <w:basedOn w:val="Normal"/>
    <w:link w:val="CommentTextChar"/>
    <w:uiPriority w:val="99"/>
    <w:semiHidden/>
    <w:unhideWhenUsed/>
    <w:rsid w:val="00C5243F"/>
    <w:pPr>
      <w:spacing w:line="240" w:lineRule="auto"/>
    </w:pPr>
    <w:rPr>
      <w:sz w:val="20"/>
      <w:szCs w:val="20"/>
    </w:rPr>
  </w:style>
  <w:style w:type="character" w:customStyle="1" w:styleId="CommentTextChar">
    <w:name w:val="Comment Text Char"/>
    <w:basedOn w:val="DefaultParagraphFont"/>
    <w:link w:val="CommentText"/>
    <w:uiPriority w:val="99"/>
    <w:semiHidden/>
    <w:rsid w:val="00C5243F"/>
    <w:rPr>
      <w:sz w:val="20"/>
      <w:szCs w:val="20"/>
    </w:rPr>
  </w:style>
  <w:style w:type="paragraph" w:styleId="CommentSubject">
    <w:name w:val="annotation subject"/>
    <w:basedOn w:val="CommentText"/>
    <w:next w:val="CommentText"/>
    <w:link w:val="CommentSubjectChar"/>
    <w:uiPriority w:val="99"/>
    <w:semiHidden/>
    <w:unhideWhenUsed/>
    <w:rsid w:val="00C5243F"/>
    <w:rPr>
      <w:b/>
      <w:bCs/>
    </w:rPr>
  </w:style>
  <w:style w:type="character" w:customStyle="1" w:styleId="CommentSubjectChar">
    <w:name w:val="Comment Subject Char"/>
    <w:basedOn w:val="CommentTextChar"/>
    <w:link w:val="CommentSubject"/>
    <w:uiPriority w:val="99"/>
    <w:semiHidden/>
    <w:rsid w:val="00C5243F"/>
    <w:rPr>
      <w:b/>
      <w:bCs/>
      <w:sz w:val="20"/>
      <w:szCs w:val="20"/>
    </w:rPr>
  </w:style>
  <w:style w:type="paragraph" w:styleId="BalloonText">
    <w:name w:val="Balloon Text"/>
    <w:basedOn w:val="Normal"/>
    <w:link w:val="BalloonTextChar"/>
    <w:uiPriority w:val="99"/>
    <w:semiHidden/>
    <w:unhideWhenUsed/>
    <w:rsid w:val="00C52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43F"/>
    <w:rPr>
      <w:rFonts w:ascii="Segoe UI" w:hAnsi="Segoe UI" w:cs="Segoe UI"/>
      <w:sz w:val="18"/>
      <w:szCs w:val="18"/>
    </w:rPr>
  </w:style>
  <w:style w:type="paragraph" w:customStyle="1" w:styleId="ZFootnoteText">
    <w:name w:val="Z_Footnote Text"/>
    <w:basedOn w:val="Normal"/>
    <w:link w:val="FootnoteReference"/>
    <w:uiPriority w:val="99"/>
    <w:rsid w:val="00C633D4"/>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478">
      <w:bodyDiv w:val="1"/>
      <w:marLeft w:val="0"/>
      <w:marRight w:val="0"/>
      <w:marTop w:val="0"/>
      <w:marBottom w:val="0"/>
      <w:divBdr>
        <w:top w:val="none" w:sz="0" w:space="0" w:color="auto"/>
        <w:left w:val="none" w:sz="0" w:space="0" w:color="auto"/>
        <w:bottom w:val="none" w:sz="0" w:space="0" w:color="auto"/>
        <w:right w:val="none" w:sz="0" w:space="0" w:color="auto"/>
      </w:divBdr>
    </w:div>
    <w:div w:id="116065504">
      <w:bodyDiv w:val="1"/>
      <w:marLeft w:val="0"/>
      <w:marRight w:val="0"/>
      <w:marTop w:val="0"/>
      <w:marBottom w:val="0"/>
      <w:divBdr>
        <w:top w:val="none" w:sz="0" w:space="0" w:color="auto"/>
        <w:left w:val="none" w:sz="0" w:space="0" w:color="auto"/>
        <w:bottom w:val="none" w:sz="0" w:space="0" w:color="auto"/>
        <w:right w:val="none" w:sz="0" w:space="0" w:color="auto"/>
      </w:divBdr>
    </w:div>
    <w:div w:id="141435943">
      <w:bodyDiv w:val="1"/>
      <w:marLeft w:val="0"/>
      <w:marRight w:val="0"/>
      <w:marTop w:val="0"/>
      <w:marBottom w:val="0"/>
      <w:divBdr>
        <w:top w:val="none" w:sz="0" w:space="0" w:color="auto"/>
        <w:left w:val="none" w:sz="0" w:space="0" w:color="auto"/>
        <w:bottom w:val="none" w:sz="0" w:space="0" w:color="auto"/>
        <w:right w:val="none" w:sz="0" w:space="0" w:color="auto"/>
      </w:divBdr>
    </w:div>
    <w:div w:id="186330984">
      <w:bodyDiv w:val="1"/>
      <w:marLeft w:val="0"/>
      <w:marRight w:val="0"/>
      <w:marTop w:val="0"/>
      <w:marBottom w:val="0"/>
      <w:divBdr>
        <w:top w:val="none" w:sz="0" w:space="0" w:color="auto"/>
        <w:left w:val="none" w:sz="0" w:space="0" w:color="auto"/>
        <w:bottom w:val="none" w:sz="0" w:space="0" w:color="auto"/>
        <w:right w:val="none" w:sz="0" w:space="0" w:color="auto"/>
      </w:divBdr>
    </w:div>
    <w:div w:id="224723298">
      <w:bodyDiv w:val="1"/>
      <w:marLeft w:val="0"/>
      <w:marRight w:val="0"/>
      <w:marTop w:val="0"/>
      <w:marBottom w:val="0"/>
      <w:divBdr>
        <w:top w:val="none" w:sz="0" w:space="0" w:color="auto"/>
        <w:left w:val="none" w:sz="0" w:space="0" w:color="auto"/>
        <w:bottom w:val="none" w:sz="0" w:space="0" w:color="auto"/>
        <w:right w:val="none" w:sz="0" w:space="0" w:color="auto"/>
      </w:divBdr>
    </w:div>
    <w:div w:id="265383190">
      <w:bodyDiv w:val="1"/>
      <w:marLeft w:val="0"/>
      <w:marRight w:val="0"/>
      <w:marTop w:val="0"/>
      <w:marBottom w:val="0"/>
      <w:divBdr>
        <w:top w:val="none" w:sz="0" w:space="0" w:color="auto"/>
        <w:left w:val="none" w:sz="0" w:space="0" w:color="auto"/>
        <w:bottom w:val="none" w:sz="0" w:space="0" w:color="auto"/>
        <w:right w:val="none" w:sz="0" w:space="0" w:color="auto"/>
      </w:divBdr>
    </w:div>
    <w:div w:id="342125331">
      <w:bodyDiv w:val="1"/>
      <w:marLeft w:val="0"/>
      <w:marRight w:val="0"/>
      <w:marTop w:val="0"/>
      <w:marBottom w:val="0"/>
      <w:divBdr>
        <w:top w:val="none" w:sz="0" w:space="0" w:color="auto"/>
        <w:left w:val="none" w:sz="0" w:space="0" w:color="auto"/>
        <w:bottom w:val="none" w:sz="0" w:space="0" w:color="auto"/>
        <w:right w:val="none" w:sz="0" w:space="0" w:color="auto"/>
      </w:divBdr>
    </w:div>
    <w:div w:id="368578471">
      <w:bodyDiv w:val="1"/>
      <w:marLeft w:val="0"/>
      <w:marRight w:val="0"/>
      <w:marTop w:val="0"/>
      <w:marBottom w:val="0"/>
      <w:divBdr>
        <w:top w:val="none" w:sz="0" w:space="0" w:color="auto"/>
        <w:left w:val="none" w:sz="0" w:space="0" w:color="auto"/>
        <w:bottom w:val="none" w:sz="0" w:space="0" w:color="auto"/>
        <w:right w:val="none" w:sz="0" w:space="0" w:color="auto"/>
      </w:divBdr>
    </w:div>
    <w:div w:id="394278617">
      <w:bodyDiv w:val="1"/>
      <w:marLeft w:val="0"/>
      <w:marRight w:val="0"/>
      <w:marTop w:val="0"/>
      <w:marBottom w:val="0"/>
      <w:divBdr>
        <w:top w:val="none" w:sz="0" w:space="0" w:color="auto"/>
        <w:left w:val="none" w:sz="0" w:space="0" w:color="auto"/>
        <w:bottom w:val="none" w:sz="0" w:space="0" w:color="auto"/>
        <w:right w:val="none" w:sz="0" w:space="0" w:color="auto"/>
      </w:divBdr>
    </w:div>
    <w:div w:id="424345788">
      <w:bodyDiv w:val="1"/>
      <w:marLeft w:val="0"/>
      <w:marRight w:val="0"/>
      <w:marTop w:val="0"/>
      <w:marBottom w:val="0"/>
      <w:divBdr>
        <w:top w:val="none" w:sz="0" w:space="0" w:color="auto"/>
        <w:left w:val="none" w:sz="0" w:space="0" w:color="auto"/>
        <w:bottom w:val="none" w:sz="0" w:space="0" w:color="auto"/>
        <w:right w:val="none" w:sz="0" w:space="0" w:color="auto"/>
      </w:divBdr>
    </w:div>
    <w:div w:id="639577913">
      <w:bodyDiv w:val="1"/>
      <w:marLeft w:val="0"/>
      <w:marRight w:val="0"/>
      <w:marTop w:val="0"/>
      <w:marBottom w:val="0"/>
      <w:divBdr>
        <w:top w:val="none" w:sz="0" w:space="0" w:color="auto"/>
        <w:left w:val="none" w:sz="0" w:space="0" w:color="auto"/>
        <w:bottom w:val="none" w:sz="0" w:space="0" w:color="auto"/>
        <w:right w:val="none" w:sz="0" w:space="0" w:color="auto"/>
      </w:divBdr>
    </w:div>
    <w:div w:id="683479591">
      <w:bodyDiv w:val="1"/>
      <w:marLeft w:val="0"/>
      <w:marRight w:val="0"/>
      <w:marTop w:val="0"/>
      <w:marBottom w:val="0"/>
      <w:divBdr>
        <w:top w:val="none" w:sz="0" w:space="0" w:color="auto"/>
        <w:left w:val="none" w:sz="0" w:space="0" w:color="auto"/>
        <w:bottom w:val="none" w:sz="0" w:space="0" w:color="auto"/>
        <w:right w:val="none" w:sz="0" w:space="0" w:color="auto"/>
      </w:divBdr>
    </w:div>
    <w:div w:id="692801226">
      <w:bodyDiv w:val="1"/>
      <w:marLeft w:val="0"/>
      <w:marRight w:val="0"/>
      <w:marTop w:val="0"/>
      <w:marBottom w:val="0"/>
      <w:divBdr>
        <w:top w:val="none" w:sz="0" w:space="0" w:color="auto"/>
        <w:left w:val="none" w:sz="0" w:space="0" w:color="auto"/>
        <w:bottom w:val="none" w:sz="0" w:space="0" w:color="auto"/>
        <w:right w:val="none" w:sz="0" w:space="0" w:color="auto"/>
      </w:divBdr>
    </w:div>
    <w:div w:id="871843276">
      <w:bodyDiv w:val="1"/>
      <w:marLeft w:val="0"/>
      <w:marRight w:val="0"/>
      <w:marTop w:val="0"/>
      <w:marBottom w:val="0"/>
      <w:divBdr>
        <w:top w:val="none" w:sz="0" w:space="0" w:color="auto"/>
        <w:left w:val="none" w:sz="0" w:space="0" w:color="auto"/>
        <w:bottom w:val="none" w:sz="0" w:space="0" w:color="auto"/>
        <w:right w:val="none" w:sz="0" w:space="0" w:color="auto"/>
      </w:divBdr>
    </w:div>
    <w:div w:id="874848973">
      <w:bodyDiv w:val="1"/>
      <w:marLeft w:val="0"/>
      <w:marRight w:val="0"/>
      <w:marTop w:val="0"/>
      <w:marBottom w:val="0"/>
      <w:divBdr>
        <w:top w:val="none" w:sz="0" w:space="0" w:color="auto"/>
        <w:left w:val="none" w:sz="0" w:space="0" w:color="auto"/>
        <w:bottom w:val="none" w:sz="0" w:space="0" w:color="auto"/>
        <w:right w:val="none" w:sz="0" w:space="0" w:color="auto"/>
      </w:divBdr>
    </w:div>
    <w:div w:id="884217139">
      <w:bodyDiv w:val="1"/>
      <w:marLeft w:val="0"/>
      <w:marRight w:val="0"/>
      <w:marTop w:val="0"/>
      <w:marBottom w:val="0"/>
      <w:divBdr>
        <w:top w:val="none" w:sz="0" w:space="0" w:color="auto"/>
        <w:left w:val="none" w:sz="0" w:space="0" w:color="auto"/>
        <w:bottom w:val="none" w:sz="0" w:space="0" w:color="auto"/>
        <w:right w:val="none" w:sz="0" w:space="0" w:color="auto"/>
      </w:divBdr>
    </w:div>
    <w:div w:id="908658852">
      <w:bodyDiv w:val="1"/>
      <w:marLeft w:val="0"/>
      <w:marRight w:val="0"/>
      <w:marTop w:val="0"/>
      <w:marBottom w:val="0"/>
      <w:divBdr>
        <w:top w:val="none" w:sz="0" w:space="0" w:color="auto"/>
        <w:left w:val="none" w:sz="0" w:space="0" w:color="auto"/>
        <w:bottom w:val="none" w:sz="0" w:space="0" w:color="auto"/>
        <w:right w:val="none" w:sz="0" w:space="0" w:color="auto"/>
      </w:divBdr>
    </w:div>
    <w:div w:id="988940002">
      <w:bodyDiv w:val="1"/>
      <w:marLeft w:val="0"/>
      <w:marRight w:val="0"/>
      <w:marTop w:val="0"/>
      <w:marBottom w:val="0"/>
      <w:divBdr>
        <w:top w:val="none" w:sz="0" w:space="0" w:color="auto"/>
        <w:left w:val="none" w:sz="0" w:space="0" w:color="auto"/>
        <w:bottom w:val="none" w:sz="0" w:space="0" w:color="auto"/>
        <w:right w:val="none" w:sz="0" w:space="0" w:color="auto"/>
      </w:divBdr>
    </w:div>
    <w:div w:id="1048839152">
      <w:bodyDiv w:val="1"/>
      <w:marLeft w:val="0"/>
      <w:marRight w:val="0"/>
      <w:marTop w:val="0"/>
      <w:marBottom w:val="0"/>
      <w:divBdr>
        <w:top w:val="none" w:sz="0" w:space="0" w:color="auto"/>
        <w:left w:val="none" w:sz="0" w:space="0" w:color="auto"/>
        <w:bottom w:val="none" w:sz="0" w:space="0" w:color="auto"/>
        <w:right w:val="none" w:sz="0" w:space="0" w:color="auto"/>
      </w:divBdr>
    </w:div>
    <w:div w:id="1092430626">
      <w:bodyDiv w:val="1"/>
      <w:marLeft w:val="0"/>
      <w:marRight w:val="0"/>
      <w:marTop w:val="0"/>
      <w:marBottom w:val="0"/>
      <w:divBdr>
        <w:top w:val="none" w:sz="0" w:space="0" w:color="auto"/>
        <w:left w:val="none" w:sz="0" w:space="0" w:color="auto"/>
        <w:bottom w:val="none" w:sz="0" w:space="0" w:color="auto"/>
        <w:right w:val="none" w:sz="0" w:space="0" w:color="auto"/>
      </w:divBdr>
    </w:div>
    <w:div w:id="1105343997">
      <w:bodyDiv w:val="1"/>
      <w:marLeft w:val="0"/>
      <w:marRight w:val="0"/>
      <w:marTop w:val="0"/>
      <w:marBottom w:val="0"/>
      <w:divBdr>
        <w:top w:val="none" w:sz="0" w:space="0" w:color="auto"/>
        <w:left w:val="none" w:sz="0" w:space="0" w:color="auto"/>
        <w:bottom w:val="none" w:sz="0" w:space="0" w:color="auto"/>
        <w:right w:val="none" w:sz="0" w:space="0" w:color="auto"/>
      </w:divBdr>
    </w:div>
    <w:div w:id="1203131623">
      <w:bodyDiv w:val="1"/>
      <w:marLeft w:val="0"/>
      <w:marRight w:val="0"/>
      <w:marTop w:val="0"/>
      <w:marBottom w:val="0"/>
      <w:divBdr>
        <w:top w:val="none" w:sz="0" w:space="0" w:color="auto"/>
        <w:left w:val="none" w:sz="0" w:space="0" w:color="auto"/>
        <w:bottom w:val="none" w:sz="0" w:space="0" w:color="auto"/>
        <w:right w:val="none" w:sz="0" w:space="0" w:color="auto"/>
      </w:divBdr>
    </w:div>
    <w:div w:id="1294402423">
      <w:bodyDiv w:val="1"/>
      <w:marLeft w:val="0"/>
      <w:marRight w:val="0"/>
      <w:marTop w:val="0"/>
      <w:marBottom w:val="0"/>
      <w:divBdr>
        <w:top w:val="none" w:sz="0" w:space="0" w:color="auto"/>
        <w:left w:val="none" w:sz="0" w:space="0" w:color="auto"/>
        <w:bottom w:val="none" w:sz="0" w:space="0" w:color="auto"/>
        <w:right w:val="none" w:sz="0" w:space="0" w:color="auto"/>
      </w:divBdr>
    </w:div>
    <w:div w:id="1297027206">
      <w:bodyDiv w:val="1"/>
      <w:marLeft w:val="0"/>
      <w:marRight w:val="0"/>
      <w:marTop w:val="0"/>
      <w:marBottom w:val="0"/>
      <w:divBdr>
        <w:top w:val="none" w:sz="0" w:space="0" w:color="auto"/>
        <w:left w:val="none" w:sz="0" w:space="0" w:color="auto"/>
        <w:bottom w:val="none" w:sz="0" w:space="0" w:color="auto"/>
        <w:right w:val="none" w:sz="0" w:space="0" w:color="auto"/>
      </w:divBdr>
    </w:div>
    <w:div w:id="1334383480">
      <w:bodyDiv w:val="1"/>
      <w:marLeft w:val="0"/>
      <w:marRight w:val="0"/>
      <w:marTop w:val="0"/>
      <w:marBottom w:val="0"/>
      <w:divBdr>
        <w:top w:val="none" w:sz="0" w:space="0" w:color="auto"/>
        <w:left w:val="none" w:sz="0" w:space="0" w:color="auto"/>
        <w:bottom w:val="none" w:sz="0" w:space="0" w:color="auto"/>
        <w:right w:val="none" w:sz="0" w:space="0" w:color="auto"/>
      </w:divBdr>
    </w:div>
    <w:div w:id="1362784470">
      <w:bodyDiv w:val="1"/>
      <w:marLeft w:val="0"/>
      <w:marRight w:val="0"/>
      <w:marTop w:val="0"/>
      <w:marBottom w:val="0"/>
      <w:divBdr>
        <w:top w:val="none" w:sz="0" w:space="0" w:color="auto"/>
        <w:left w:val="none" w:sz="0" w:space="0" w:color="auto"/>
        <w:bottom w:val="none" w:sz="0" w:space="0" w:color="auto"/>
        <w:right w:val="none" w:sz="0" w:space="0" w:color="auto"/>
      </w:divBdr>
    </w:div>
    <w:div w:id="1376084550">
      <w:bodyDiv w:val="1"/>
      <w:marLeft w:val="0"/>
      <w:marRight w:val="0"/>
      <w:marTop w:val="0"/>
      <w:marBottom w:val="0"/>
      <w:divBdr>
        <w:top w:val="none" w:sz="0" w:space="0" w:color="auto"/>
        <w:left w:val="none" w:sz="0" w:space="0" w:color="auto"/>
        <w:bottom w:val="none" w:sz="0" w:space="0" w:color="auto"/>
        <w:right w:val="none" w:sz="0" w:space="0" w:color="auto"/>
      </w:divBdr>
    </w:div>
    <w:div w:id="1469932796">
      <w:bodyDiv w:val="1"/>
      <w:marLeft w:val="0"/>
      <w:marRight w:val="0"/>
      <w:marTop w:val="0"/>
      <w:marBottom w:val="0"/>
      <w:divBdr>
        <w:top w:val="none" w:sz="0" w:space="0" w:color="auto"/>
        <w:left w:val="none" w:sz="0" w:space="0" w:color="auto"/>
        <w:bottom w:val="none" w:sz="0" w:space="0" w:color="auto"/>
        <w:right w:val="none" w:sz="0" w:space="0" w:color="auto"/>
      </w:divBdr>
    </w:div>
    <w:div w:id="1525558665">
      <w:bodyDiv w:val="1"/>
      <w:marLeft w:val="0"/>
      <w:marRight w:val="0"/>
      <w:marTop w:val="0"/>
      <w:marBottom w:val="0"/>
      <w:divBdr>
        <w:top w:val="none" w:sz="0" w:space="0" w:color="auto"/>
        <w:left w:val="none" w:sz="0" w:space="0" w:color="auto"/>
        <w:bottom w:val="none" w:sz="0" w:space="0" w:color="auto"/>
        <w:right w:val="none" w:sz="0" w:space="0" w:color="auto"/>
      </w:divBdr>
    </w:div>
    <w:div w:id="1533152119">
      <w:bodyDiv w:val="1"/>
      <w:marLeft w:val="0"/>
      <w:marRight w:val="0"/>
      <w:marTop w:val="0"/>
      <w:marBottom w:val="0"/>
      <w:divBdr>
        <w:top w:val="none" w:sz="0" w:space="0" w:color="auto"/>
        <w:left w:val="none" w:sz="0" w:space="0" w:color="auto"/>
        <w:bottom w:val="none" w:sz="0" w:space="0" w:color="auto"/>
        <w:right w:val="none" w:sz="0" w:space="0" w:color="auto"/>
      </w:divBdr>
    </w:div>
    <w:div w:id="1590967772">
      <w:bodyDiv w:val="1"/>
      <w:marLeft w:val="0"/>
      <w:marRight w:val="0"/>
      <w:marTop w:val="0"/>
      <w:marBottom w:val="0"/>
      <w:divBdr>
        <w:top w:val="none" w:sz="0" w:space="0" w:color="auto"/>
        <w:left w:val="none" w:sz="0" w:space="0" w:color="auto"/>
        <w:bottom w:val="none" w:sz="0" w:space="0" w:color="auto"/>
        <w:right w:val="none" w:sz="0" w:space="0" w:color="auto"/>
      </w:divBdr>
    </w:div>
    <w:div w:id="1627852455">
      <w:bodyDiv w:val="1"/>
      <w:marLeft w:val="0"/>
      <w:marRight w:val="0"/>
      <w:marTop w:val="0"/>
      <w:marBottom w:val="0"/>
      <w:divBdr>
        <w:top w:val="none" w:sz="0" w:space="0" w:color="auto"/>
        <w:left w:val="none" w:sz="0" w:space="0" w:color="auto"/>
        <w:bottom w:val="none" w:sz="0" w:space="0" w:color="auto"/>
        <w:right w:val="none" w:sz="0" w:space="0" w:color="auto"/>
      </w:divBdr>
    </w:div>
    <w:div w:id="1727096300">
      <w:bodyDiv w:val="1"/>
      <w:marLeft w:val="0"/>
      <w:marRight w:val="0"/>
      <w:marTop w:val="0"/>
      <w:marBottom w:val="0"/>
      <w:divBdr>
        <w:top w:val="none" w:sz="0" w:space="0" w:color="auto"/>
        <w:left w:val="none" w:sz="0" w:space="0" w:color="auto"/>
        <w:bottom w:val="none" w:sz="0" w:space="0" w:color="auto"/>
        <w:right w:val="none" w:sz="0" w:space="0" w:color="auto"/>
      </w:divBdr>
    </w:div>
    <w:div w:id="1867331801">
      <w:bodyDiv w:val="1"/>
      <w:marLeft w:val="0"/>
      <w:marRight w:val="0"/>
      <w:marTop w:val="0"/>
      <w:marBottom w:val="0"/>
      <w:divBdr>
        <w:top w:val="none" w:sz="0" w:space="0" w:color="auto"/>
        <w:left w:val="none" w:sz="0" w:space="0" w:color="auto"/>
        <w:bottom w:val="none" w:sz="0" w:space="0" w:color="auto"/>
        <w:right w:val="none" w:sz="0" w:space="0" w:color="auto"/>
      </w:divBdr>
    </w:div>
    <w:div w:id="1916435192">
      <w:bodyDiv w:val="1"/>
      <w:marLeft w:val="0"/>
      <w:marRight w:val="0"/>
      <w:marTop w:val="0"/>
      <w:marBottom w:val="0"/>
      <w:divBdr>
        <w:top w:val="none" w:sz="0" w:space="0" w:color="auto"/>
        <w:left w:val="none" w:sz="0" w:space="0" w:color="auto"/>
        <w:bottom w:val="none" w:sz="0" w:space="0" w:color="auto"/>
        <w:right w:val="none" w:sz="0" w:space="0" w:color="auto"/>
      </w:divBdr>
    </w:div>
    <w:div w:id="1941180400">
      <w:bodyDiv w:val="1"/>
      <w:marLeft w:val="0"/>
      <w:marRight w:val="0"/>
      <w:marTop w:val="0"/>
      <w:marBottom w:val="0"/>
      <w:divBdr>
        <w:top w:val="none" w:sz="0" w:space="0" w:color="auto"/>
        <w:left w:val="none" w:sz="0" w:space="0" w:color="auto"/>
        <w:bottom w:val="none" w:sz="0" w:space="0" w:color="auto"/>
        <w:right w:val="none" w:sz="0" w:space="0" w:color="auto"/>
      </w:divBdr>
    </w:div>
    <w:div w:id="1941916268">
      <w:bodyDiv w:val="1"/>
      <w:marLeft w:val="0"/>
      <w:marRight w:val="0"/>
      <w:marTop w:val="0"/>
      <w:marBottom w:val="0"/>
      <w:divBdr>
        <w:top w:val="none" w:sz="0" w:space="0" w:color="auto"/>
        <w:left w:val="none" w:sz="0" w:space="0" w:color="auto"/>
        <w:bottom w:val="none" w:sz="0" w:space="0" w:color="auto"/>
        <w:right w:val="none" w:sz="0" w:space="0" w:color="auto"/>
      </w:divBdr>
    </w:div>
    <w:div w:id="1948539533">
      <w:bodyDiv w:val="1"/>
      <w:marLeft w:val="0"/>
      <w:marRight w:val="0"/>
      <w:marTop w:val="0"/>
      <w:marBottom w:val="0"/>
      <w:divBdr>
        <w:top w:val="none" w:sz="0" w:space="0" w:color="auto"/>
        <w:left w:val="none" w:sz="0" w:space="0" w:color="auto"/>
        <w:bottom w:val="none" w:sz="0" w:space="0" w:color="auto"/>
        <w:right w:val="none" w:sz="0" w:space="0" w:color="auto"/>
      </w:divBdr>
    </w:div>
    <w:div w:id="1996954118">
      <w:bodyDiv w:val="1"/>
      <w:marLeft w:val="0"/>
      <w:marRight w:val="0"/>
      <w:marTop w:val="0"/>
      <w:marBottom w:val="0"/>
      <w:divBdr>
        <w:top w:val="none" w:sz="0" w:space="0" w:color="auto"/>
        <w:left w:val="none" w:sz="0" w:space="0" w:color="auto"/>
        <w:bottom w:val="none" w:sz="0" w:space="0" w:color="auto"/>
        <w:right w:val="none" w:sz="0" w:space="0" w:color="auto"/>
      </w:divBdr>
    </w:div>
    <w:div w:id="2066643197">
      <w:bodyDiv w:val="1"/>
      <w:marLeft w:val="0"/>
      <w:marRight w:val="0"/>
      <w:marTop w:val="0"/>
      <w:marBottom w:val="0"/>
      <w:divBdr>
        <w:top w:val="none" w:sz="0" w:space="0" w:color="auto"/>
        <w:left w:val="none" w:sz="0" w:space="0" w:color="auto"/>
        <w:bottom w:val="none" w:sz="0" w:space="0" w:color="auto"/>
        <w:right w:val="none" w:sz="0" w:space="0" w:color="auto"/>
      </w:divBdr>
    </w:div>
    <w:div w:id="2087990741">
      <w:bodyDiv w:val="1"/>
      <w:marLeft w:val="0"/>
      <w:marRight w:val="0"/>
      <w:marTop w:val="0"/>
      <w:marBottom w:val="0"/>
      <w:divBdr>
        <w:top w:val="none" w:sz="0" w:space="0" w:color="auto"/>
        <w:left w:val="none" w:sz="0" w:space="0" w:color="auto"/>
        <w:bottom w:val="none" w:sz="0" w:space="0" w:color="auto"/>
        <w:right w:val="none" w:sz="0" w:space="0" w:color="auto"/>
      </w:divBdr>
    </w:div>
    <w:div w:id="21106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2B697-BA2A-45C4-B2FB-4FFD4927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5</Pages>
  <Words>3277</Words>
  <Characters>18679</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2025-08-22T07:49:00Z</cp:lastPrinted>
  <dcterms:created xsi:type="dcterms:W3CDTF">2020-08-12T07:27:00Z</dcterms:created>
  <dcterms:modified xsi:type="dcterms:W3CDTF">2025-08-22T07:51:00Z</dcterms:modified>
</cp:coreProperties>
</file>